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87R20740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4437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4437:</w:t>
      </w: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C.S.H.B.</w:t>
      </w:r>
      <w:r xml:space="preserve">
        <w:t> </w:t>
      </w:r>
      <w:r>
        <w:t xml:space="preserve">No.</w:t>
      </w:r>
      <w:r xml:space="preserve">
        <w:t> </w:t>
      </w:r>
      <w:r>
        <w:t xml:space="preserve">4437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w:t>
      </w:r>
      <w:r>
        <w:t xml:space="preserve">ting to the authority of certain counties to consider a prospective contractor's principal place of business when awarding certain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271, Local Government Code, is amended by adding Section 271.909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271.909.</w:t>
      </w:r>
      <w:r>
        <w:rPr>
          <w:u w:val="single"/>
        </w:rPr>
        <w:t xml:space="preserve"> </w:t>
      </w:r>
      <w:r>
        <w:rPr>
          <w:u w:val="single"/>
        </w:rPr>
        <w:t xml:space="preserve"> </w:t>
      </w:r>
      <w:r>
        <w:rPr>
          <w:u w:val="single"/>
        </w:rPr>
        <w:t xml:space="preserve">CONSIDERATION OF LOCATION OF BIDDER'S PRINCIPAL PLACE OF BUSINESS FOR AWARDING CERTAIN COUNTY CONTRACTS.  (a) </w:t>
      </w:r>
      <w:r>
        <w:rPr>
          <w:u w:val="single"/>
        </w:rPr>
        <w:t xml:space="preserve"> </w:t>
      </w:r>
      <w:r>
        <w:rPr>
          <w:u w:val="single"/>
        </w:rPr>
        <w:t xml:space="preserve">This section applies only to a county with a population of more than 3.3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may award a contract for services or for the construction,  repair, or renovation of a structure, road, highway, or other improvement or addition to real property to a bidder whose principal place of business is in the county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bid or proposed price submitted by the bidder is within three percent of the lowest bid or proposed price received by the county from a bidder with the ability to perform the contract that does not have a principal place of business in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court determines, in writing, that the bid or proposal of the bidder offers the county the best combination of contract price, ability to perform the contract,  and additional economic development opportunities for the county created by the contract award, including the employment of residents of the county and increased tax revenues to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a county from rejecting all bids.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for which a county first advertises or otherwise solicits bids, proposals, offers, or qualifications or makes a similar solicitation on or after the effective date of this Act. </w:t>
      </w:r>
      <w:r>
        <w:t xml:space="preserve"> </w:t>
      </w:r>
      <w:r>
        <w:t xml:space="preserve">A contract for which a county first advertises or otherwise solicits bids, proposals, offers, or qualifications or makes a similar solicitation before the effective date of this Act is governed by the law in effect on the date the advertisement or solicitation was made,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