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4437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counties to consider a prospective contractor's place of business when awarding certain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271.905, Local Government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county with a population of 3.3 million or more that is awarding a contract for services or for the construction,  repair, or renovation of a structure, road, highway, or other improvement or addition to real property may award the contract to an entity with a permanent business presence in the county if: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bid or proposed price submitted by the entity is  within three percent of the lowest bid or proposed price received by the county from an entity with the ability to perform the contract that does not have a permanent business presence in the county;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commissioners court determines, in writing, that the bid or proposal of the entity offers the county the best combination of contract price, ability to perform the contract,  and additional economic development opportunities for the county created by the contract award, including the employment of residents of the county and increased tax revenues to the county.</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