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possessory liens and the exemption of personal property therefrom.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2303.158, Occupations Code, is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2303.158.</w:t>
      </w:r>
      <w:r>
        <w:rPr>
          <w:u w:val="single"/>
        </w:rPr>
        <w:t xml:space="preserve"> </w:t>
      </w:r>
      <w:r>
        <w:rPr>
          <w:u w:val="single"/>
        </w:rPr>
        <w:t xml:space="preserve"> </w:t>
      </w:r>
      <w:r>
        <w:rPr>
          <w:u w:val="single"/>
        </w:rPr>
        <w:t xml:space="preserve">POSSESSORY LIEN, PERFECTION, PERSONAL PROPERTY, AND ACCESS TO GLOVE COMPARTMENT, CONSOLE, OR OTHER INTERIOR STORAGE AREA TO ESTABLISH IDENTITY OR OWNERSHIP.  (a)  The operator of a vehicle storage facility shall have a first priority possessory lien on the vehicle and its contents for all charges for all reasonable towing, recovery, and storage fees, including all fees set by law or Department rule, for which the owner, operator, or carrier is liable.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possessory lien under this Section attaches to not only the vehicle and its contents, but also to any trailer attached to the vehicle or that was towed and stored in conjunction with the vehicle as well as any contents of the trailer including, but not limited to, other vehicles, boats, and cargo.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lien under this Section shall not extend or attach to the following personal items, without limitation:</w:t>
      </w:r>
    </w:p>
    <w:p w:rsidR="003F3435" w:rsidRDefault="0032493E">
      <w:pPr>
        <w:spacing w:line="480" w:lineRule="auto"/>
        <w:ind w:firstLine="1440"/>
        <w:jc w:val="both"/>
      </w:pPr>
      <w:r>
        <w:rPr>
          <w:u w:val="single"/>
        </w:rPr>
        <w:t xml:space="preserve">(i</w:t>
      </w:r>
      <w:r>
        <w:rPr>
          <w:u w:val="single"/>
        </w:rPr>
        <w:t xml:space="preserve">)</w:t>
      </w:r>
      <w:r>
        <w:rPr>
          <w:u w:val="single"/>
        </w:rPr>
        <w:t xml:space="preserve"> </w:t>
      </w:r>
      <w:r>
        <w:rPr>
          <w:u w:val="single"/>
        </w:rPr>
        <w:t xml:space="preserve"> </w:t>
      </w:r>
      <w:r>
        <w:rPr>
          <w:u w:val="single"/>
        </w:rPr>
        <w:t xml:space="preserve">personal or legal documents;</w:t>
      </w:r>
    </w:p>
    <w:p w:rsidR="003F3435" w:rsidRDefault="0032493E">
      <w:pPr>
        <w:spacing w:line="480" w:lineRule="auto"/>
        <w:ind w:firstLine="1440"/>
        <w:jc w:val="both"/>
      </w:pPr>
      <w:r>
        <w:rPr>
          <w:u w:val="single"/>
        </w:rPr>
        <w:t xml:space="preserve">(ii)</w:t>
      </w:r>
      <w:r>
        <w:rPr>
          <w:u w:val="single"/>
        </w:rPr>
        <w:t xml:space="preserve"> </w:t>
      </w:r>
      <w:r>
        <w:rPr>
          <w:u w:val="single"/>
        </w:rPr>
        <w:t xml:space="preserve"> </w:t>
      </w:r>
      <w:r>
        <w:rPr>
          <w:u w:val="single"/>
        </w:rPr>
        <w:t xml:space="preserve">Medications;</w:t>
      </w:r>
    </w:p>
    <w:p w:rsidR="003F3435" w:rsidRDefault="0032493E">
      <w:pPr>
        <w:spacing w:line="480" w:lineRule="auto"/>
        <w:ind w:firstLine="1440"/>
        <w:jc w:val="both"/>
      </w:pPr>
      <w:r>
        <w:rPr>
          <w:u w:val="single"/>
        </w:rPr>
        <w:t xml:space="preserve">(iii)</w:t>
      </w:r>
      <w:r>
        <w:rPr>
          <w:u w:val="single"/>
        </w:rPr>
        <w:t xml:space="preserve"> </w:t>
      </w:r>
      <w:r>
        <w:rPr>
          <w:u w:val="single"/>
        </w:rPr>
        <w:t xml:space="preserve"> </w:t>
      </w:r>
      <w:r>
        <w:rPr>
          <w:u w:val="single"/>
        </w:rPr>
        <w:t xml:space="preserve">child-restraint seating;</w:t>
      </w:r>
    </w:p>
    <w:p w:rsidR="003F3435" w:rsidRDefault="0032493E">
      <w:pPr>
        <w:spacing w:line="480" w:lineRule="auto"/>
        <w:ind w:firstLine="1440"/>
        <w:jc w:val="both"/>
      </w:pPr>
      <w:r>
        <w:rPr>
          <w:u w:val="single"/>
        </w:rPr>
        <w:t xml:space="preserve">(iv)</w:t>
      </w:r>
      <w:r>
        <w:rPr>
          <w:u w:val="single"/>
        </w:rPr>
        <w:t xml:space="preserve"> </w:t>
      </w:r>
      <w:r>
        <w:rPr>
          <w:u w:val="single"/>
        </w:rPr>
        <w:t xml:space="preserve"> </w:t>
      </w:r>
      <w:r>
        <w:rPr>
          <w:u w:val="single"/>
        </w:rPr>
        <w:t xml:space="preserve">wallets, purses, and the contents of such;</w:t>
      </w:r>
    </w:p>
    <w:p w:rsidR="003F3435" w:rsidRDefault="0032493E">
      <w:pPr>
        <w:spacing w:line="480" w:lineRule="auto"/>
        <w:ind w:firstLine="1440"/>
        <w:jc w:val="both"/>
      </w:pPr>
      <w:r>
        <w:rPr>
          <w:u w:val="single"/>
        </w:rPr>
        <w:t xml:space="preserve">(v)</w:t>
      </w:r>
      <w:r>
        <w:rPr>
          <w:u w:val="single"/>
        </w:rPr>
        <w:t xml:space="preserve"> </w:t>
      </w:r>
      <w:r>
        <w:rPr>
          <w:u w:val="single"/>
        </w:rPr>
        <w:t xml:space="preserve"> </w:t>
      </w:r>
      <w:r>
        <w:rPr>
          <w:u w:val="single"/>
        </w:rPr>
        <w:t xml:space="preserve">prescription eyeglasses;</w:t>
      </w:r>
    </w:p>
    <w:p w:rsidR="003F3435" w:rsidRDefault="0032493E">
      <w:pPr>
        <w:spacing w:line="480" w:lineRule="auto"/>
        <w:ind w:firstLine="1440"/>
        <w:jc w:val="both"/>
      </w:pPr>
      <w:r>
        <w:rPr>
          <w:u w:val="single"/>
        </w:rPr>
        <w:t xml:space="preserve">(vi)</w:t>
      </w:r>
      <w:r>
        <w:rPr>
          <w:u w:val="single"/>
        </w:rPr>
        <w:t xml:space="preserve"> </w:t>
      </w:r>
      <w:r>
        <w:rPr>
          <w:u w:val="single"/>
        </w:rPr>
        <w:t xml:space="preserve"> </w:t>
      </w:r>
      <w:r>
        <w:rPr>
          <w:u w:val="single"/>
        </w:rPr>
        <w:t xml:space="preserve">prosthetics;</w:t>
      </w:r>
    </w:p>
    <w:p w:rsidR="003F3435" w:rsidRDefault="0032493E">
      <w:pPr>
        <w:spacing w:line="480" w:lineRule="auto"/>
        <w:ind w:firstLine="1440"/>
        <w:jc w:val="both"/>
      </w:pPr>
      <w:r>
        <w:rPr>
          <w:u w:val="single"/>
        </w:rPr>
        <w:t xml:space="preserve">(vii)</w:t>
      </w:r>
      <w:r>
        <w:rPr>
          <w:u w:val="single"/>
        </w:rPr>
        <w:t xml:space="preserve"> </w:t>
      </w:r>
      <w:r>
        <w:rPr>
          <w:u w:val="single"/>
        </w:rPr>
        <w:t xml:space="preserve"> </w:t>
      </w:r>
      <w:r>
        <w:rPr>
          <w:u w:val="single"/>
        </w:rPr>
        <w:t xml:space="preserve">cell phones;</w:t>
      </w:r>
    </w:p>
    <w:p w:rsidR="003F3435" w:rsidRDefault="0032493E">
      <w:pPr>
        <w:spacing w:line="480" w:lineRule="auto"/>
        <w:ind w:firstLine="1440"/>
        <w:jc w:val="both"/>
      </w:pPr>
      <w:r>
        <w:rPr>
          <w:u w:val="single"/>
        </w:rPr>
        <w:t xml:space="preserve">(viii)</w:t>
      </w:r>
      <w:r>
        <w:rPr>
          <w:u w:val="single"/>
        </w:rPr>
        <w:t xml:space="preserve"> </w:t>
      </w:r>
      <w:r>
        <w:rPr>
          <w:u w:val="single"/>
        </w:rPr>
        <w:t xml:space="preserve"> </w:t>
      </w:r>
      <w:r>
        <w:rPr>
          <w:u w:val="single"/>
        </w:rPr>
        <w:t xml:space="preserve">photographs; and</w:t>
      </w:r>
    </w:p>
    <w:p w:rsidR="003F3435" w:rsidRDefault="0032493E">
      <w:pPr>
        <w:spacing w:line="480" w:lineRule="auto"/>
        <w:ind w:firstLine="1440"/>
        <w:jc w:val="both"/>
      </w:pPr>
      <w:r>
        <w:rPr>
          <w:u w:val="single"/>
        </w:rPr>
        <w:t xml:space="preserve">(ix)</w:t>
      </w:r>
      <w:r>
        <w:rPr>
          <w:u w:val="single"/>
        </w:rPr>
        <w:t xml:space="preserve"> </w:t>
      </w:r>
      <w:r>
        <w:rPr>
          <w:u w:val="single"/>
        </w:rPr>
        <w:t xml:space="preserve"> </w:t>
      </w:r>
      <w:r>
        <w:rPr>
          <w:u w:val="single"/>
        </w:rPr>
        <w:t xml:space="preserve">books.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items described in Section 2308.158 (b)(i)-(ix) shall be released without charge by the towing and storage firm to the owner or operator of the motor vehicle or his or her duly authorized representative.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operator of a vehicle storage facility or a governmental vehicle storage facility must allow a person claiming to be the owner of a vehicle stored or parked at the facility to have access to the vehicle's glove compartment, console, or other interior storage area if documents necessary to establish the person's identity or ownership of the vehicle are located in the glove compartment, console, or other interior storage area.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lien described in this Section may be perfected by:</w:t>
      </w:r>
    </w:p>
    <w:p w:rsidR="003F3435" w:rsidRDefault="0032493E">
      <w:pPr>
        <w:spacing w:line="480" w:lineRule="auto"/>
        <w:ind w:firstLine="1440"/>
        <w:jc w:val="both"/>
      </w:pPr>
      <w:r>
        <w:rPr>
          <w:u w:val="single"/>
        </w:rPr>
        <w:t xml:space="preserve">(i)</w:t>
      </w:r>
      <w:r>
        <w:rPr>
          <w:u w:val="single"/>
        </w:rPr>
        <w:t xml:space="preserve"> </w:t>
      </w:r>
      <w:r>
        <w:rPr>
          <w:u w:val="single"/>
        </w:rPr>
        <w:t xml:space="preserve"> </w:t>
      </w:r>
      <w:r>
        <w:rPr>
          <w:u w:val="single"/>
        </w:rPr>
        <w:t xml:space="preserve">maintaining possession; or</w:t>
      </w:r>
    </w:p>
    <w:p w:rsidR="003F3435" w:rsidRDefault="0032493E">
      <w:pPr>
        <w:spacing w:line="480" w:lineRule="auto"/>
        <w:ind w:firstLine="1440"/>
        <w:jc w:val="both"/>
      </w:pPr>
      <w:r>
        <w:rPr>
          <w:u w:val="single"/>
        </w:rPr>
        <w:t xml:space="preserve">(ii)</w:t>
      </w:r>
      <w:r>
        <w:rPr>
          <w:u w:val="single"/>
        </w:rPr>
        <w:t xml:space="preserve"> </w:t>
      </w:r>
      <w:r>
        <w:rPr>
          <w:u w:val="single"/>
        </w:rPr>
        <w:t xml:space="preserve"> </w:t>
      </w:r>
      <w:r>
        <w:rPr>
          <w:u w:val="single"/>
        </w:rPr>
        <w:t xml:space="preserve">mailing notice(s) to the owner and registered lienholder as required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towing company or vehicle storage facility that in good faith follows the procedures of this Section shall not be liable for claims of conversion or civil theft in relation to the vehicles or their contents for maintaining property pursuant to the possessory lien as provided by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forecloses on a lien described in this Chapter, a person that purchases property pursuant to the foreclosure of such possessory lien, and any person applying for ownership of or title to property purchased or sold at the public sale, whether through use of forms promulgated by the Texas Department of Motor Vehicles including Form VTR-265-VSF as amended, restated, or modified from time to time, shall not be liable for claims of conversion or civil theft in relation to the vehicles, their contents, or personal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