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87R10827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on emergency management for members of the emergency management council and state emergency response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418, Government Code, is amended by adding Section 418.0055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418.0055.</w:t>
      </w:r>
      <w:r>
        <w:rPr>
          <w:u w:val="single"/>
        </w:rPr>
        <w:t xml:space="preserve"> </w:t>
      </w:r>
      <w:r>
        <w:rPr>
          <w:u w:val="single"/>
        </w:rPr>
        <w:t xml:space="preserve"> </w:t>
      </w:r>
      <w:r>
        <w:rPr>
          <w:u w:val="single"/>
        </w:rPr>
        <w:t xml:space="preserve">TRAINING FOR EMERGENCY MANAGEMENT COUNCIL AND STATE EMERGENCY RESPONSE COMMISSION.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management council" means the council established by the governor under Section 418.013.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emergency response commission" means the commission appointed by the governor in accordance with the federal Emergency Planning and Community Right-To-Know Act of 1986 (42 U.S.C. Section 11001(a)).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member of the emergency management council shall complete a training course on emergency management of at least 16 hours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state emergency response commission shall complete a training course on emergency management of at least 40 hours every two years. </w:t>
      </w:r>
      <w:r>
        <w:rPr>
          <w:u w:val="single"/>
        </w:rPr>
        <w:t xml:space="preserve"> </w:t>
      </w:r>
      <w:r>
        <w:rPr>
          <w:u w:val="single"/>
        </w:rPr>
        <w:t xml:space="preserve">A member of the commission who completes the training required by this subsection and who is a member of the emergency management council is not required to complete the training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shall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first anniversary of the date the person was appointed to the emergency management council or state emergency response commission for the initial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each second anniversary of the deadline date provided by Subdivision (1) for each subsequent training course.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develop the minimum curriculum standards for the training courses required by this section. </w:t>
      </w:r>
      <w:r>
        <w:rPr>
          <w:u w:val="single"/>
        </w:rPr>
        <w:t xml:space="preserve"> </w:t>
      </w:r>
      <w:r>
        <w:rPr>
          <w:u w:val="single"/>
        </w:rPr>
        <w:t xml:space="preserve">The division shall administer the training courses or approve training courses that meet the minimum curriculum standards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each person serving on the emergency management council or state emergency response commission on the effective date of this Act shall complete the training required by Section 418.0055,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