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attendance credit receipts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49.154(b), Education Code, is amended to read as follows:</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w:t>
      </w:r>
      <w:r>
        <w:rPr>
          <w:u w:val="single"/>
        </w:rPr>
        <w:t xml:space="preserve">to the credit of the attendance credit receipts fund under Section 49.1541</w:t>
      </w:r>
      <w:r>
        <w:t xml:space="preserve"> [</w:t>
      </w:r>
      <w:r>
        <w:rPr>
          <w:strike/>
        </w:rPr>
        <w:t xml:space="preserve">and may be used only for foundation school program purposes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49, Education Code, is amended by adding Section 49.1541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49.1541.</w:t>
      </w:r>
      <w:r>
        <w:rPr>
          <w:u w:val="single"/>
        </w:rPr>
        <w:t xml:space="preserve"> </w:t>
      </w:r>
      <w:r>
        <w:rPr>
          <w:u w:val="single"/>
        </w:rPr>
        <w:t xml:space="preserve"> </w:t>
      </w:r>
      <w:r>
        <w:rPr>
          <w:u w:val="single"/>
        </w:rPr>
        <w:t xml:space="preserve">ATTENDANCE CREDIT RECEIPTS FUND.  (a) </w:t>
      </w:r>
      <w:r>
        <w:rPr>
          <w:u w:val="single"/>
        </w:rPr>
        <w:t xml:space="preserve"> </w:t>
      </w:r>
      <w:r>
        <w:rPr>
          <w:u w:val="single"/>
        </w:rPr>
        <w:t xml:space="preserve">The attendance credit receipts fund is created as a fund in the state treasury,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attendance credit receipts fund shall consist of payments made by school districts under Section 49.154 for the purchase of attendance credits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attendance credit receipts fund may only be used for foundation school program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comptroller shall transfer from the general revenue fund to the attendance credit receipts fund created under Section 49.1541, Education Code, as added by this Act, any funds received from the purchase of attendance credits by a school district under Section 49.154, Education Code,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