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87R19812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4465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4465:</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4465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grants and federal disaster relief funds available to school districts, open-enrollment charter schools, and regional education service centers to provide services to students after a disaster 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Sections 29.926 and 29.927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29.926.</w:t>
      </w:r>
      <w:r>
        <w:rPr>
          <w:u w:val="single"/>
        </w:rPr>
        <w:t xml:space="preserve"> </w:t>
      </w:r>
      <w:r>
        <w:rPr>
          <w:u w:val="single"/>
        </w:rPr>
        <w:t xml:space="preserve"> </w:t>
      </w:r>
      <w:r>
        <w:rPr>
          <w:u w:val="single"/>
        </w:rPr>
        <w:t xml:space="preserve">GRANT PROGRAM REGARDING DISASTERS IMPACTING STUDENT INSTRUCTION.  (a) From funds available for purposes of this section and reserved for the state for administrative purposes under Section 313, Coronavirus Response and Relief Supplemental Appropriations Act, 2021 (Div. M, Pub. L. No.</w:t>
      </w:r>
      <w:r>
        <w:rPr>
          <w:u w:val="single"/>
        </w:rPr>
        <w:t xml:space="preserve"> </w:t>
      </w:r>
      <w:r>
        <w:rPr>
          <w:u w:val="single"/>
        </w:rPr>
        <w:t xml:space="preserve">116-260, 134 Stat. 1182 (2020), reprinted in note, 20 U.S.C. Section 3401), or the American Rescue Plan Act of 2021 (Pub. L. No.</w:t>
      </w:r>
      <w:r>
        <w:rPr>
          <w:u w:val="single"/>
        </w:rPr>
        <w:t xml:space="preserve"> </w:t>
      </w:r>
      <w:r>
        <w:rPr>
          <w:u w:val="single"/>
        </w:rPr>
        <w:t xml:space="preserve">117-2), the commissioner shall establish a grant program to assist school districts, open-enrollment charter schools, and regional education service centers in overcoming the educational impact occurring as a result of a state of disaster as declared by the governor under Chapter 418, Government Code. The grant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extending instructional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grants to ensure that students have access to remote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innovation in curriculum and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improvements in quality of air and water at school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accelerated learning.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broadband grant under Subsection (a)(2) may include a payment made by the agency, a contractor or subgrantee of the agency, a school district, or an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provider of services or equipment for a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student's parent to pay a provider of services or equipment for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determine the terms of a grant awarded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limits on the grant amount awarded to a school district, open-enrollment charter school, or regional education service center;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approved use of grant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administer the grant program or contract with a regional education service center to administer the grant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recover funds not used in accordance with the terms of a grant by withholding any state funds otherwise due to a school district, open-enrollment charter school, or regional education service center that is not complying with the terms of the grant.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seek gifts, grants, and donations from any public or private sources, including the federal government, for providing grants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29.927.</w:t>
      </w:r>
      <w:r>
        <w:rPr>
          <w:u w:val="single"/>
        </w:rPr>
        <w:t xml:space="preserve"> </w:t>
      </w:r>
      <w:r>
        <w:rPr>
          <w:u w:val="single"/>
        </w:rPr>
        <w:t xml:space="preserve"> </w:t>
      </w:r>
      <w:r>
        <w:rPr>
          <w:u w:val="single"/>
        </w:rPr>
        <w:t xml:space="preserve">FEDERAL DISASTER RELIEF FUNDS; LOCAL PLAN FOR EXPENDITURE OF FUNDS.  (a)  In this section, "disaster relief funds" means federal funds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available to the state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313, Coronavirus Response and Relief Supplemental Appropriations Act, 2021 (Div. M, Pub. L. No.</w:t>
      </w:r>
      <w:r>
        <w:rPr>
          <w:u w:val="single"/>
        </w:rPr>
        <w:t xml:space="preserve"> </w:t>
      </w:r>
      <w:r>
        <w:rPr>
          <w:u w:val="single"/>
        </w:rPr>
        <w:t xml:space="preserve">116-260, 134 Stat. 1182 (2020), reprinted in note, 20 U.S.C. Section 3401);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American Rescue Plan Act of 2021 (Pub. L. No.</w:t>
      </w:r>
      <w:r>
        <w:rPr>
          <w:u w:val="single"/>
        </w:rPr>
        <w:t xml:space="preserve"> </w:t>
      </w:r>
      <w:r>
        <w:rPr>
          <w:u w:val="single"/>
        </w:rPr>
        <w:t xml:space="preserve">117-2);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authorized or required to be allocated to local education agencies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shall provide disaster relief funds to school districts and charter schools operating under Chapter 12 in accordance with the terms of the federal grant program under which the funds are received.  A waiver of a maintenance of effort requirement or other provision of a federal grant requirement does not apply to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school district or the governing body of an open-enrollment charter school that receives disaster relief funds under Subsection (b)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school year during which the funds are permitted to be expended under the terms of the federal grant program under which the funds were received, adopt a local plan regarding the expenditure of the funds;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beginning of the 2023-2024 school year, ensure that students in need of remediation are identified and receiving appropriate services to perform at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funds in accordance with all requirements established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federal grant program under which the funds were received;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Department of Education or other appropriate federal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the local plan under Subdivision (1) at a public meeting at which the district or school considers any recommendations published by the commissioner regarding the use of the funds;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the district's or school's local plan to the agency and consider the agency's comments in adopting the district's or school's local plan for the following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local plan adopted by a school district or open-enrollment charter school under Subsection (c)(1)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needs for extending instructional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to ensure access to remote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innovation in curriculum and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improvements in quality of air and water at school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accelerated learning.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provided to a school district or open-enrollment charter school under this section may not be used to provide a general increase in the district's or school's local salary schedule but may be used to provide additional compensation for staff providing, supporting, or supervising extended instructional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make publicly available on the agency's Internet website each local plan adopted by a school district or open-enrollment charter school under Subsection (c)(1).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may be construed to limit the authority of the commissioner or agency to audit or recover funds in accordance with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