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control of virtual currency and the rights of purchasers who obtain control of virtual currency for purposes of the Uniform Commercial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9.102, </w:t>
      </w:r>
      <w:r>
        <w:t xml:space="preserve">Business &amp; Commerce Code, is amended by adding Subsection (29-a) to read as follows:</w:t>
      </w:r>
    </w:p>
    <w:p w:rsidR="003F3435" w:rsidRDefault="0032493E">
      <w:pPr>
        <w:spacing w:line="480" w:lineRule="auto"/>
        <w:ind w:firstLine="720"/>
        <w:jc w:val="both"/>
      </w:pPr>
      <w:r>
        <w:rPr>
          <w:u w:val="single"/>
        </w:rPr>
        <w:t xml:space="preserve">(29-a)</w:t>
      </w:r>
      <w:r>
        <w:rPr>
          <w:u w:val="single"/>
        </w:rPr>
        <w:t xml:space="preserve"> </w:t>
      </w:r>
      <w:r>
        <w:rPr>
          <w:u w:val="single"/>
        </w:rPr>
        <w:t xml:space="preserve"> </w:t>
      </w:r>
      <w:r>
        <w:rPr>
          <w:u w:val="single"/>
        </w:rPr>
        <w:t xml:space="preserve">"Virtual currency" means a digital representation of value that functions as a medium of exchange, unit of account, and/or store of value and is often secured using blockchain technology.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 Business &amp; Commerce Code, is amended by adding Sections 9.1071 and 9.1072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9.1071.</w:t>
      </w:r>
      <w:r>
        <w:rPr>
          <w:u w:val="single"/>
        </w:rPr>
        <w:t xml:space="preserve"> </w:t>
      </w:r>
      <w:r>
        <w:rPr>
          <w:u w:val="single"/>
        </w:rPr>
        <w:t xml:space="preserve"> </w:t>
      </w:r>
      <w:r>
        <w:rPr>
          <w:u w:val="single"/>
        </w:rPr>
        <w:t xml:space="preserve">CONTROL OF VIRTUAL CURRENCY.  (a)  A purchaser has control of a virtual currency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applicable, gives the purchaser: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power to derive substantially all of the benefit from the virtual currency;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(c), the exclusive power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prevent others from deriving substantially all of the benefit from the virtual currency;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virtual currency or a record attached to or logically associated with the virtual currency enables the purchaser to readily identify the purchaser as the person having the powers specified under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person has control of the virtual currency on behalf of the purchaser or, having previously acquired control of the virtual currency, acknowledges that the person has control on behalf of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(a)(1),a purchaser may be identified in anyway, including by name, identifying number, cryptographic key, office, or account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power described by Subsection (a)(1) or (2) may be considered exclusive regardless of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applicable, limits the use to which the virtual currency may be put or has protocols that are programmed to result in a transfer of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purchaser has agreed to share the power with another person.</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9.1072.</w:t>
      </w:r>
      <w:r>
        <w:rPr>
          <w:u w:val="single"/>
        </w:rPr>
        <w:t xml:space="preserve"> </w:t>
      </w:r>
      <w:r>
        <w:rPr>
          <w:u w:val="single"/>
        </w:rPr>
        <w:t xml:space="preserve"> </w:t>
      </w:r>
      <w:r>
        <w:rPr>
          <w:u w:val="single"/>
        </w:rPr>
        <w:t xml:space="preserve">RIGHTS OF PURCHASER THAT OBTAINS CONTROL OF VIRTUAL CURRENCY.  (a)  In this section, "adverse claim" means a claimant that has a property interest in a virtual currency or a right to payment evidenced by the virtual currency.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violation of the rights of the claimant for another person to hold, transfer, or otherwise deal with the virtual currency or the right to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a purchaser that acquires an interest in and obtains control of a virtual currency without notice of any adverse claim takes the purchaser's interest in the virtual currency and in any right to payment evidenced by the virtual currency free of any adverse claim.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an action based on an adverse claim to a virtual currency or a right to payment evidenced by a virtual currency, whether framed in conversion, replevin, constructive trust, equitable lien, or other theory, may not be asserted against a purchaser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acquires, for value and without notice of the adverse claim, a virtual currency or an interest in a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obtains control of the virtual currency or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purchaser has notice of an adverse claim if the purchaser: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knows of the adverse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Subsections (c) and (d) do not apply if more than one virtual currency evidences the same right to payment.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