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87R10938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COVID-19.</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100C to read as follows:</w:t>
      </w:r>
    </w:p>
    <w:p w:rsidR="003F3435" w:rsidRDefault="0032493E">
      <w:pPr>
        <w:spacing w:line="480" w:lineRule="auto"/>
        <w:jc w:val="center"/>
      </w:pPr>
      <w:r>
        <w:rPr>
          <w:u w:val="single"/>
        </w:rPr>
        <w:t xml:space="preserve">CHAPTER 100C.  LIABILITY ARISING FROM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"Arising from COVID-19," with respect to personal injury or death, means the injury or harm giving rise to the personal injury or death was caused by or resulted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actual, alleged, or possible exposure to or contraction of COVID-19;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treatment, or other actions performed, not performed, or delayed in response to COVID-19;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implementation of policies and procedures to prevent or minimize the spread of COVID-19;</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testing for COVID-19;</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monitoring, collecting, reporting, tracking, tracing, disclosing, or investigating COVID-19 exposure or other COVID-19 related information;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use, design, manufacture, provision, donation, or servicing of precautionary, diagnostic, collection, or other health equipment or supplies, including personal protective equipment;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closing or partial closing of a business or premises to prevent or minimize the spread of COVID-19;</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delaying or modifying the schedule or performance of any medical procedure;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providing services or products in response to government appeal or repurposing operations to address an urgent need for personal protective equipment, sanitation products, or other products necessary to protect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"COVID-19"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novel coronavirus known as SARS-CoV-2;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mutation of SARS-CoV-2;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coronavirus disease 2019.</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LIMITED IMMUNITY FROM LIABILITY.  (a)  Notwithstanding any other law, a person who acts in good faith in the course of or through the performance or provision of the person's business operations or on the premises owned or operated by the person is immune from civil liability for ordinary negligence for any personal injury or death arising from COVID-19 if the person acts as an ordinary, reasonable, and prudent person would have acted under the same or similar circumstances.  For purposes of this subsection, acting as an ordinary, reasonable, and prudent person includes the adoption of reasonable safety measures.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There is a rebuttable presumption that safety measures adopted by a person are reasonable for purposes of Subsection (a) if those measures conform to the Centers for Disease Control and Prevention guidelines in existence at the time of an alleged exposure.  The rebuttable presumption provided by this subsection does not alter the applicable standard of care for medical, legal, or other negligence cases.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act or omission that constitutes an intentional tort or wilful or reckless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modify the application of the state's workers' compensation laws.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immunity provided by this section is in addition to any other immunity under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EXPIRATION.  This chapter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