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87R7482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identifying defendants suspected of having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w:t>
      </w:r>
      <w:r>
        <w:rPr>
          <w:strike/>
        </w:rPr>
        <w:t xml:space="preserve">for an offense punishable as a Class B misdemeanor or any higher category of offense</w:t>
      </w:r>
      <w:r>
        <w:t xml:space="preserv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to:</w:t>
      </w:r>
    </w:p>
    <w:p w:rsidR="003F3435" w:rsidRDefault="0032493E">
      <w:pPr>
        <w:spacing w:line="480" w:lineRule="auto"/>
        <w:ind w:firstLine="2160"/>
        <w:jc w:val="both"/>
      </w:pPr>
      <w:r>
        <w:t xml:space="preserve">(A)</w:t>
      </w:r>
      <w:r xml:space="preserve">
        <w:t> </w:t>
      </w:r>
      <w:r xml:space="preserve">
        <w:t> </w:t>
      </w:r>
      <w: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or service; and</w:t>
      </w:r>
    </w:p>
    <w:p w:rsidR="003F3435" w:rsidRDefault="0032493E">
      <w:pPr>
        <w:spacing w:line="480" w:lineRule="auto"/>
        <w:ind w:firstLine="2160"/>
        <w:jc w:val="both"/>
      </w:pPr>
      <w:r>
        <w:t xml:space="preserve">(B)</w:t>
      </w:r>
      <w:r xml:space="preserve">
        <w:t> </w:t>
      </w:r>
      <w:r xml:space="preserve">
        <w:t> </w:t>
      </w:r>
      <w:r>
        <w:t xml:space="preserve">provide to the magistrate a written report of an interview described by Paragraph (A) and the other information collected under that paragraph on the form approved by the Texas Correctional Office on Offenders with Medical or Mental Impairments under Section 614.0032(c),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16.22(b-1) and (d),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 the defense counsel, the attorney representing the state, and the trial court.  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rPr>
          <w:u w:val="single"/>
        </w:rPr>
        <w:t xml:space="preserve">subject to Article 46B.002,</w:t>
      </w:r>
      <w:r>
        <w:t xml:space="preserve"> 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interview and collection of other 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rPr>
          <w:u w:val="single"/>
        </w:rPr>
        <w:t xml:space="preserve">subject to Article 46B.002,</w:t>
      </w:r>
      <w:r>
        <w:t xml:space="preserve"> ordering an examination regarding the defendant's competency to stand trial.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