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4492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financing certain costs associated with electric markets; granting authority to issue bonds;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404.0241, Government Code, is amended by adding Subsections (b-1), (b-2), (b-3), (b-4), and (b-5)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other law, directly or indirectly through a separately managed account or other investment vehicle, the comptroller shall invest not more than $800 million of the economic stabilization fund balance to finance the default balance as defined by Section 39.602, Utilities Code, to be repaid by ERCOT market participants through default charges established by the Public Utility Commission of Texas. The interest rate charged in connection with the debt obligations must be calculated by adding the rate determined by the Municipal Market Data Municipal Electric Index, as published by Refinitiv TM3, based on the credit rating of the independent organization, as defined by Section 39.602, Utilities Code, plus 2.5 percent. The term of the debt obligations may not exceed 30 years.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person may not bring a civil action against this state, the Texas Treasury Safekeeping Trust Company, or an employee, independent contractor, or official of this state, including the comptroller, for any claim, including breach of fiduciary duty or violation of any constitutional, statutory, or regulatory requirement, in connection with any action, inaction, decision, divestment, investment, report, or other determination made or taken in connection with Subsections (b-1), (b-4), and (b-5).</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person who brings an action described by Subsection (b-2) is liable to the defendant for the defendant's costs and attorney's fees resulting from the action.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comptroller shall manage the investments required by Subsection (b-1) as a separate investment portfolio. The comptroller shall provide separate accounting and reporting for the investments in that portfolio. The comptroller shall credit to that portfolio all payments, distributions, interest, and other earnings on the investments in that portfolio.</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The comptroller has any power necessary to accomplish the purposes of managing and investing the assets of the portfolio described by Subsection (b-4). In managing the assets of that portfolio, through procedures and subject to restrictions the comptroller considers appropriate, the comptroller may acquire, sell, transfer, or otherwise assign the investments as appropriate, taking into consideration the purposes, terms, distribution requirements, and other circumstances of that portfolio then prevailing.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39.002, Utilities Code, is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w:t>
      </w:r>
      <w:r>
        <w:rPr>
          <w:u w:val="single"/>
        </w:rPr>
        <w:t xml:space="preserve">39.151,</w:t>
      </w:r>
      <w:r>
        <w:t xml:space="preserve"> 39.1516, 39.155, 39.157(e), </w:t>
      </w:r>
      <w:r>
        <w:rPr>
          <w:u w:val="single"/>
        </w:rPr>
        <w:t xml:space="preserve">39.159,</w:t>
      </w:r>
      <w:r>
        <w:t xml:space="preserve"> 39.203, 39.904, 39.9051, 39.9052, and 39.914(e), </w:t>
      </w:r>
      <w:r>
        <w:rPr>
          <w:u w:val="single"/>
        </w:rPr>
        <w:t xml:space="preserve">and Subchapters M and N,</w:t>
      </w:r>
      <w:r>
        <w:t xml:space="preserv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39.151, Utilities Code, is amended by adding Subsection (j-1)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Notwithstanding Subsection (j) of this section, Section 39.653(c), or any other law, the independent system operator in the ERCOT power region may not reduce payments to or uplift short-paid amounts to a municipally owned utility that becomes subject to the jurisdiction of that independent system operator on or after May 29, 2021, and before December 30, 2021, related to a default on a payment obligation by a market participant that occurred before May 29,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AMOUNTS OWED TO INDEPENDENT ORGANIZATION BY MARKET PARTICIPANTS.  (a)  The commission shall require that all market participants fully and promptly pay to the independent organization certified under Section 39.151 for the ERCOT power region all amounts owed to the independent organization, or provide for the full and prompt payment of those amounts owed,  which must be calculated solely according to the protocols of the independent organization in effect during the period of emergency and subject to the jurisdiction of the commission,</w:t>
      </w:r>
      <w:r>
        <w:rPr>
          <w:u w:val="single"/>
        </w:rPr>
        <w:t xml:space="preserve"> </w:t>
      </w:r>
      <w:r>
        <w:rPr>
          <w:u w:val="single"/>
        </w:rPr>
        <w:t xml:space="preserve">to qualify, or to continue to qualify, as a market participant in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organization shall report to the commission that a market participant is in default for the failure to pay, or provide for the full and prompt payment of, all amounts owed to the independent organization as calculated in accordance with this section. The commission may not allow the defaulting market participant to continue to be a market participant in the ERCOT power region for any purpose or allow the independent organization to accept the defaulting market participant's loads or generation for scheduling in the ERCOT power region until all amounts owed to the independent organization by the market participant as calculated in this section are fully paid.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and the independent organization shall pursue collection in full of amounts owed to the independent organization by any market participant to reduce the costs that would otherwise be borne by other market participants or their customers.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39, Utilities Code, is amended by adding Subchapters M and N to read as follows:</w:t>
      </w:r>
    </w:p>
    <w:p w:rsidR="003F3435" w:rsidRDefault="0032493E">
      <w:pPr>
        <w:spacing w:line="480" w:lineRule="auto"/>
        <w:jc w:val="center"/>
      </w:pPr>
      <w:r>
        <w:rPr>
          <w:u w:val="single"/>
        </w:rPr>
        <w:t xml:space="preserve">SUBCHAPTER M.  WINTER STORM URI DEFAULT BALANCE FINANCING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w:t>
      </w:r>
      <w:r>
        <w:rPr>
          <w:u w:val="single"/>
        </w:rPr>
        <w:t xml:space="preserve"> </w:t>
      </w:r>
      <w:r>
        <w:rPr>
          <w:u w:val="single"/>
        </w:rPr>
        <w:t xml:space="preserve"> </w:t>
      </w:r>
      <w:r>
        <w:rPr>
          <w:u w:val="single"/>
        </w:rPr>
        <w:t xml:space="preserve">PURPOSE.  (a) The purpose of this subchapter is to address the Winter Storm Uri default balance, as defined by Section 39.602, in a manner that benefits the public interest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enabling the independent organization to finance the payment of the default balance with debt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authorizing the commission to contract with the comptroller under Section 404.0241, Government Code, to finance the payment of the default balance with debt obligations.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Financing the default balance in the manner provided by this subchapter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wholesale market participants that are owed money to be paid in a more timely manner;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replenish financial revenue auction receipts temporarily used by the independent organization to reduce the Winter Storm Uri-related amounts short-paid to the wholesale market participants;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wholesale market to repay the default balance over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finds that the financing authorized by this subchapter serves the public purpose of preserving the integrity of the electricity market in the ERCOT power region.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proceeds of debt obligations issued under this subchapter must be used solely for the purpose of financing default balances that otherwise would be or have been uplifted to the wholesale market.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ensure that the structuring and pricing of debt obligations issued under this subchapter result in the lowest financing costs consistent with market conditions and the terms of the commission's order.  The present value calculation must use a discount rate equal to the proposed interest rate on the debt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"Default balance" means an amount of money of not more than $800 million that includes only: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amounts owed to the independent organization by competitive wholesale market participants from the period of emergency that otherwise would be or have been uplifted to other wholesale market participants;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financial revenue auction receipts used by the independent organization to temporarily reduce amounts short-paid to wholesale market participants related to the period of emergency;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costs incurred by a state agency or the independent organization to implement a debt obligation order under Sections 39.603 and 39.604, including the cost of retiring or refunding existing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"Default charges" means charges assessed to wholesale market participants to repay amounts financed under this subchapter to pay the default balance.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"Independent organization" means the independent organization certified under Section 39.151 for the ERCOT power region.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"Period of emergency" means the period beginning 12:01 a.m., February 12, 2021, and ending 11:59 p.m., February 20,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39.603.</w:t>
      </w:r>
      <w:r>
        <w:rPr>
          <w:u w:val="single"/>
        </w:rPr>
        <w:t xml:space="preserve"> </w:t>
      </w:r>
      <w:r>
        <w:rPr>
          <w:u w:val="single"/>
        </w:rPr>
        <w:t xml:space="preserve"> </w:t>
      </w:r>
      <w:r>
        <w:rPr>
          <w:u w:val="single"/>
        </w:rPr>
        <w:t xml:space="preserve">DEBT OBLIGATION ORDER.  (a)  On application by the independent organization, the commission by order may authorize the independent organization to establish a debt financing mechanism to finance the default balance if the commission finds that the debt obligations are needed to preserve the integrity of the wholesale market and the public interest, after considering: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need to timely replenish financial revenue auction receipts used by the independent organization to reduce amounts short-paid to wholesale market participants;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interests of wholesale market participants that are owed balances;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effects of uplifting those balances to the wholesale market without a financing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default balance to be financed;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period over which the default charges must be assessed to repay the debt obligations, which may not exceed 30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order must include an adjustment mechanism requiring the independent organization to adjust default charges to refund, over the remaining period of the default charges, any payments made by a market participant toward unpaid obligations from the period of emergency that were included in the financed default balance.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independent organization shall collect from and allocate among wholesale market participants the default charges using the same allocated pro rata share methodology under which the charges would otherwise be uplifted under the protocols in effect on March 1, 2021.  The default charges must be assessed on all wholesale market participants, including market participants who are in default but still participating in the wholesale market and who enter the market after a debt obligation order is issued under this subchapter, and may be based on periodically updated transaction data to prevent market participants from engaging in behavior designed to avoid the default charges.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the date the independent organization receives a default charge payment from a wholesale market participant, the independent organization shall remit the payment to the comptroller toward repayment of debt obligations in which the comptroller made an investment under Section 404.0241(b-1), Government Code, if applicable.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another provision of this subchapter, default charges may not be collected from or allocated to a market participant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otherwise would be subject to a default charge solely as a result of acting as a central counterparty clearinghouse in wholesale market transactions in the ERCOT power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regulated as a derivatives clearing organization, as defined by Section 1a, Commodity Exchange Act (7 U.S.C. Section 1a).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90th day after the date the independent organization files an application for an order under Subsection (a), the commission shall issue an order described by Subsection (a) or an order denying the application.  The order becomes effective in accordance with its terms and the order, together with the default charges authorized in the order, shall be irrevocable and not subject to reduction, impairment, or adjustment by further action of the commission after the order takes effect.  Notwithstanding this requirement, the commission may refinance any debt obligations created by an order issued under this subchapter if the commission determines that the refinancing is in the public interest, considering the interest of both the ERCOT market and the state's interest in the economic stabilization fund, and otherwise meets the requirements of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order described by Subsection (a) or (g) is not subject to rehearing by the commission. The order may be reviewed by appeal by a party to the proceeding to a Travis County district court that is filed not later than the 15th day after the date the order is signed by the commission.  The judgment of the district court may be reviewed only by a direct appeal to the Supreme Court of Texas that is filed not later than the 15th day after the date of the entry of judgment.  All appeals shall be heard and determined by the district court and the Supreme Court of Texas as expeditiously as possible with lawful precedence over other matters.  Review on appeal shall be based solely on the record before the commission and briefs to the court and shall be limited to whether the order conforms to the constitution and laws of this state and the United States and is within the authority of the commission under this 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debt obligation issued under this section is a nonrecourse debt secured solely by the default charges explicitly assessed to repay the obligation. The independent organization's obligations authorized under this section do not create personal liability for the independent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39.604.</w:t>
      </w:r>
      <w:r>
        <w:rPr>
          <w:u w:val="single"/>
        </w:rPr>
        <w:t xml:space="preserve"> </w:t>
      </w:r>
      <w:r>
        <w:rPr>
          <w:u w:val="single"/>
        </w:rPr>
        <w:t xml:space="preserve"> </w:t>
      </w:r>
      <w:r>
        <w:rPr>
          <w:u w:val="single"/>
        </w:rPr>
        <w:t xml:space="preserve">COMMISSION-AUTHORIZED FINANCING.  (a) The commission may contract with another state agency with expertise in public financing to establish a debt financing mechanism for the payment of the default balance as defined in this subchapter, under an order that meets the requirements of Section 39.603. This section does not apply to a default balance securitized under Subchapter D, Chapter 41.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contracted state agency and any issuer, along with the independent organization, must be a party to the commission's proceedings that address the issuance of an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other applicable requirements of this subtitle, an order issued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sale, assignment, or other transfer to the contracted state agency of default charges created by the order and, following that sale, assignment, or transfer, require that default charges paid under any order be created, assessed, and collected as the property of the contracted state agency, subject to subsequent sale, assignment, or transfer by the contracted state agency as authorized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debt obligations by the contracted state agency secured by a pledge of default charge revenue, and the application of the proceeds of those debt obligations, net of issuance costs, to the independent organization;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acquisition of default charge revenue from the independent organization by the contracted state agency, financed: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a loan by an issuer to the contracted state agency of the proceeds of debt obligations, net of issuance costs;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the acquisition by an issuer from the contracted state agency of the default charge revenue and in each case the pledge of the revenue to the repayment of the loan or other debt obligation,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independent organization to serve as collection agent to collect the default charges and transfer the collected default charges to the contracted state agency or the issuer, as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issuance of the order, the contracted state agency shall arrange for the issuance of debt obligations, as specified by the order, by the contracted state agency or another issuer selected by the contracted state agency and approved by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Debt obligations issued pursuant to an order issued under this section are secured only by the default charge revenue and any other funds pledged under the bond documents.  No assets of the state or the independent organization are subject to claims by the holders of the debt obligations.  Following assignment of the default charge revenue, the independent organization does not have any beneficial interest or claim of right in the revenue.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Effective on the date the first debt obligations are issued under this subchapter, if any provision of this title or portion of this title is held to be invalid or is invalidated, superseded, replaced, or repealed, or expires for any reason, that occurrence does not affect the validity or continuation of this subchapter or any other provision of this title that is relevant to the issuance, administration, payment, retirement, or refunding of debt obligations authorized under this subchapter or to any actions of the independent organization, its successors, an assignee, a collection agent, the contracted state agency, or an issuer and those provisions shall remain in full force and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39.605.</w:t>
      </w:r>
      <w:r>
        <w:rPr>
          <w:u w:val="single"/>
        </w:rPr>
        <w:t xml:space="preserve"> </w:t>
      </w:r>
      <w:r>
        <w:rPr>
          <w:u w:val="single"/>
        </w:rPr>
        <w:t xml:space="preserve"> </w:t>
      </w:r>
      <w:r>
        <w:rPr>
          <w:u w:val="single"/>
        </w:rPr>
        <w:t xml:space="preserve">DEFAULT CHARGES NONBYPASSABLE.  An order issued under Section 39.603 or 39.604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terms ensuring that the imposition and collection of default charges authorized in the order shall be nonbypassable by wholesale market participants;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independent organization to establish appropriate fees and other methods for pursuing amounts owed from entities exiting the wholesale market.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39.606.</w:t>
      </w:r>
      <w:r>
        <w:rPr>
          <w:u w:val="single"/>
        </w:rPr>
        <w:t xml:space="preserve"> </w:t>
      </w:r>
      <w:r>
        <w:rPr>
          <w:u w:val="single"/>
        </w:rPr>
        <w:t xml:space="preserve"> </w:t>
      </w:r>
      <w:r>
        <w:rPr>
          <w:u w:val="single"/>
        </w:rPr>
        <w:t xml:space="preserve">TRUE-UP MECHANISM.  An order issued under Section 39.603 or 39.604 must include a mechanism requiring that default charges be reviewed and adjusted at least annually, not later than the 45th day after the anniversary date of the issuance of the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over-collections or under-collections over the preceding 12 months;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expected recovery of amounts sufficient to timely provide all payments of debt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39.607.</w:t>
      </w:r>
      <w:r>
        <w:rPr>
          <w:u w:val="single"/>
        </w:rPr>
        <w:t xml:space="preserve"> </w:t>
      </w:r>
      <w:r>
        <w:rPr>
          <w:u w:val="single"/>
        </w:rPr>
        <w:t xml:space="preserve"> </w:t>
      </w:r>
      <w:r>
        <w:rPr>
          <w:u w:val="single"/>
        </w:rPr>
        <w:t xml:space="preserve">TAX EXEMPTION.  The transfer and receipt of default charges are exempt from state and local sales and use, franchise, and gross receipts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39.608.</w:t>
      </w:r>
      <w:r>
        <w:rPr>
          <w:u w:val="single"/>
        </w:rPr>
        <w:t xml:space="preserve"> </w:t>
      </w:r>
      <w:r>
        <w:rPr>
          <w:u w:val="single"/>
        </w:rPr>
        <w:t xml:space="preserve"> </w:t>
      </w:r>
      <w:r>
        <w:rPr>
          <w:u w:val="single"/>
        </w:rPr>
        <w:t xml:space="preserve">PROPERTY RIGHTS.  (a) </w:t>
      </w:r>
      <w:r>
        <w:rPr>
          <w:u w:val="single"/>
        </w:rPr>
        <w:t xml:space="preserve"> </w:t>
      </w:r>
      <w:r>
        <w:rPr>
          <w:u w:val="single"/>
        </w:rPr>
        <w:t xml:space="preserve">The rights and interests of the independent organization or its successor under a debt obligation order issued under this subchapter, including the right to impose, collect, and receive default charges, shall be only contract rights until they are first transferred to an assignee or pledged in connection with an investment agreement entered into under Section 404.0241, Government Code, or the issuance of debt obligations, at which time they will become default property, as described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Default property shall constitute a present property right for purposes of contracts concerning the sale or pledge of property, even though the imposition and collection of default charges depends on further acts of the independent organization or others that have not yet occurred.  A debt obligation order issued under this subchapter shall remain in effect and the property shall continue to exist for the same period as the pledge of the state described by Section 39.609.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revenues and collections resulting from default charges shall constitute proceeds only of the default property arising from the debt obligation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39.609.</w:t>
      </w:r>
      <w:r>
        <w:rPr>
          <w:u w:val="single"/>
        </w:rPr>
        <w:t xml:space="preserve"> </w:t>
      </w:r>
      <w:r>
        <w:rPr>
          <w:u w:val="single"/>
        </w:rPr>
        <w:t xml:space="preserve"> </w:t>
      </w:r>
      <w:r>
        <w:rPr>
          <w:u w:val="single"/>
        </w:rPr>
        <w:t xml:space="preserve">PLEDGE OF STATE.  Debt obligations issued pursuant to this subchapter, including any bonds, are not a debt or obligation of the state and are not a charge on its full faith and credit or taxing power.  The state pledges, however, for the benefit and protection of financing parties and the independent organization that it will not take or permit any action that would impair the value of default property, or reduce, alter, or impair the default charges to be imposed, collected, and remitted to financing parties, until the principal, interest and premium, and any other charges incurred and contracts to be performed in connection with the related debt obligations have been paid and performed in full.  Any party issuing a debt obligation under this subchapter is authorized to include this pledge in any documentation relating to the obligation.</w:t>
      </w:r>
    </w:p>
    <w:p w:rsidR="003F3435" w:rsidRDefault="0032493E">
      <w:pPr>
        <w:spacing w:line="480" w:lineRule="auto"/>
        <w:jc w:val="center"/>
      </w:pPr>
      <w:r>
        <w:rPr>
          <w:u w:val="single"/>
        </w:rPr>
        <w:t xml:space="preserve">SUBCHAPTER N.  WINTER STORM URI UPLIFT FINANCING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39.651.</w:t>
      </w:r>
      <w:r>
        <w:rPr>
          <w:u w:val="single"/>
        </w:rPr>
        <w:t xml:space="preserve"> </w:t>
      </w:r>
      <w:r>
        <w:rPr>
          <w:u w:val="single"/>
        </w:rPr>
        <w:t xml:space="preserve"> </w:t>
      </w:r>
      <w:r>
        <w:rPr>
          <w:u w:val="single"/>
        </w:rPr>
        <w:t xml:space="preserve">PURPOSE; USE OF PROCEEDS.  (a) The purpose of this subchapter is to address the Winter Storm Uri uplift balance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enabling the independent organization certified under Section 39.151 for the ERCOT power region to finance the uplift balance on behalf of wholesale market participants through debt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authorizing the commission to contract with another state agency to finance the payment of the uplift balance with debt obligations or use any another financial mechanism consistent with this subchapter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Financing the uplift balance in the manner provided by this subchapter will allow wholesale market participants who were assessed extraordinary uplift charges due to consumption during the period of emergency to pay those charges over a longer period of time, alleviating liquidity issues and reducing the risk of additional defaults in the wholesale market.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finds that authorizing financing under this subchapter serves the public purpose of allowing the commission to stabilize the wholesale electricity market in the ERCOT power region.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proceeds of debt obligations issued under this subchapter must be used solely for the purpose of financing reliability deployment price adder charges and ancillary service costs that exceeded the commission's system-wide offer cap and were uplifted to load-serving entities based on consumption during the period of emergency.  A load-serving entity that receives proceeds from the debt obligations may use the proceeds solely for the purposes of fulfilling payment obligations directly related to such costs and refunding such costs to retail customers who have paid or otherwise would be obligated to pay such costs.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ensure that the structuring and pricing of the debt obligations results in the lowest uplift charges consistent with market conditions and the terms of the order issued under this subchapter.  The present value calculation must use a discount rate equal to the proposed interest rate on the debt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"Independent organization" means the independent organization certified under Section 39.151 for the ERCOT power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"Load-serving entity" means a municipally owned utility, an electric cooperative, or a retail electric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"Period of emergency" means the period beginning 12:01 a.m., February 12, 2021, and ending 11:59 p.m., February 20, 2021.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"Uplift balance" means an amount of money of not more than $2.1 billion </w:t>
      </w:r>
      <w:r>
        <w:rPr>
          <w:u w:val="single"/>
        </w:rPr>
        <w:t xml:space="preserve">that was uplifted to load-serving entities on a load ratio share basis due to energy consumption during the period of emergency for reliability deployment price adder charges and ancillary services costs in excess of the commission's system-wide offer cap, excluding amounts securitized under Subchapter D, Chapter 41.  The term does not include amounts that were part of the prevailing settlement point price during the period of emergency.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"Uplift charges" means charges assessed to load-serving entities to repay amounts financed under this subchapter to pay the uplift balance and reasonable costs incurred by a state agency or the independent organization to implement a debt obligation order under Section 39.653, 39.654, or 39.655, including the cost of retiring or refunding existing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39.653.</w:t>
      </w:r>
      <w:r>
        <w:rPr>
          <w:u w:val="single"/>
        </w:rPr>
        <w:t xml:space="preserve"> </w:t>
      </w:r>
      <w:r>
        <w:rPr>
          <w:u w:val="single"/>
        </w:rPr>
        <w:t xml:space="preserve"> </w:t>
      </w:r>
      <w:r>
        <w:rPr>
          <w:u w:val="single"/>
        </w:rPr>
        <w:t xml:space="preserve">DEBT OBLIGATION ORDER.  (a)  The independent organization shall file an application with the commission to establish a debt financing mechanism for the payment of the uplift balance if the commission finds that such financing will support the financial integrity of the wholesale market and is necessary to protect the public interest, considering the impacts on both wholesale market participants and retail customers.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issued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uplift balance to be financed;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period over which the uplift charges must be assessed to repay the debt obligations, which may not exceed 30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process for remitting the proceeds of the financing to load-serving entities who were exposed to the costs included in the uplift balance, including a requirement for the load-serving entities to submit documentation of their exposure.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organization shall assess uplift charges to all load-serving entities on a load ratio share basis, which may be translated to a kWh charge, including load serving entities who enter the market after an order has been issued under this subchapter, but excluding the load of entities that opt out under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develop a one-time process that allows municipally owned utilities, electric cooperatives, river authorities, a retail electric provider that has the same corporate parent as each of the provider's customers, a retail electric provider that is an affiliate of each of the provider's customers, and transmission-voltage customers served by a retail electric provider to opt out of the uplift charges by paying in full all invoices owed for usage during the period of emergency. Load-serving entities and transmission-voltage customers that opt out under this subsection shall not receive any proceeds from the uplift financing.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issued under this section must include a requirement that any load-serving entity that receives proceeds from the financing that exceed the entity's actual exposure to uplift charges from consumption during the period of emergency notify the independent organization and remit any excess receipts.  Any payments received under this subsection must be credited against the uplift balance to reduce the remaining uplift charges.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90th day after the date the independent organization files an application for an order under Subsection (a), the commission shall issue an order described by Subsection (a) or an order denying the application.  The order becomes effective in accordance with its terms and the order, together with the uplift charges authorized in the order, shall be irrevocable and not subject to reduction, impairment, or adjustment by further action of the commission after it takes effect.  Notwithstanding this requirement, the commission may refinance any debt obligations created by an order under this subchapter if the commission determines that the refinancing is in the public interest and otherwise meets the requirements of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order issued under this section is not subject to rehearing by the commission. An order may be reviewed by appeal by a party to the proceeding to a Travis County district court filed not later than the 15th day after the date the order is signed by the commission. The judgment of the district court may be reviewed only by direct appeal to the Supreme Court of Texas filed not later than the 15th day after the date of the entry of judgment. All appeals shall be heard and determined by the district court and the Supreme Court of Texas as expeditiously as possible with lawful precedence over other matters. Review on appeal shall be based solely on the record before the commission and briefs to the court and shall be limited to whether the order conforms to the constitution and laws of this state and the United States and is within the authority of the commission under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debt obligation issued under this section is a nonrecourse debt secured solely by the uplift charges explicitly assessed to repay the obligation.  The independent organization's obligations authorized under this section do not create personal liability for the independent organization.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apply to any balance securitized under Subchapter D, Chapter 41.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39.654.</w:t>
      </w:r>
      <w:r>
        <w:rPr>
          <w:u w:val="single"/>
        </w:rPr>
        <w:t xml:space="preserve"> </w:t>
      </w:r>
      <w:r>
        <w:rPr>
          <w:u w:val="single"/>
        </w:rPr>
        <w:t xml:space="preserve"> </w:t>
      </w:r>
      <w:r>
        <w:rPr>
          <w:u w:val="single"/>
        </w:rPr>
        <w:t xml:space="preserve">COMMISSION-AUTHORIZED FINANCING.  (a)  The commission may contract with another state agency with expertise in public financing to establish a debt financing mechanism to finance the payment of the uplift balance under an order that meets the requirements of Section 39.653.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contracted state agency and any issuer must be a party to the commission's proceedings that address the issuance of an order along with the independent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other applicable requirements of this subtitle, an order issued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sale, assignment, or other transfer to the contracted state agency of uplift charges created by the order and, following that sale, assignment, or transfer, require that uplift charges paid under any order be created, assessed, and collected as the property of the contracted state agency, subject to subsequent sale, assignment, or transfer by the contracted state agency as authorized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debt obligations by the contracted state agency secured by a pledge of uplift charge revenue, and the application of the proceeds of those debt obligations, net of issuance costs, to the independent organization;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acquisition of uplift charge revenue from the independent organization by the contracted state agency, financed: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a loan by an issuer to the contracted state agency of the proceeds of debt obligations, net of issuance costs;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the acquisition by an issuer from the contracted state agency of the uplift charge revenue and in each case the pledge of the revenue to the repayment of the loan or debt obligations,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independent organization to serve as collection agent to collect the uplift charges and transfer the collected uplift charges to the contracted state agency or the issuer, as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issuance of the order, the contracted state agency shall arrange for the issuance of debt obligations, as specified by the order, by the contracted state agency or another issuer selected by the contracted state agency and approved by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Debt obligations issued pursuant to an order issued under this section are secured only by the uplift charge revenue and any other funds pledged under the bond documents.  No assets of the state or the independent organization are subject to claims by the holders of the debt obligations.  Following assignment of the uplift charge revenue, the independent organization does not have any beneficial interest or claim of right in the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39.655.</w:t>
      </w:r>
      <w:r>
        <w:rPr>
          <w:u w:val="single"/>
        </w:rPr>
        <w:t xml:space="preserve"> </w:t>
      </w:r>
      <w:r>
        <w:rPr>
          <w:u w:val="single"/>
        </w:rPr>
        <w:t xml:space="preserve"> </w:t>
      </w:r>
      <w:r>
        <w:rPr>
          <w:u w:val="single"/>
        </w:rPr>
        <w:t xml:space="preserve">OTHER FINANCIAL MECHANISM.  The commission may use a financial mechanism other than the mechanisms described by Sections 39.653 and 39.654 that meets the requirements of this subchapter to accomplish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39.656.</w:t>
      </w:r>
      <w:r>
        <w:rPr>
          <w:u w:val="single"/>
        </w:rPr>
        <w:t xml:space="preserve"> </w:t>
      </w:r>
      <w:r>
        <w:rPr>
          <w:u w:val="single"/>
        </w:rPr>
        <w:t xml:space="preserve"> </w:t>
      </w:r>
      <w:r>
        <w:rPr>
          <w:u w:val="single"/>
        </w:rPr>
        <w:t xml:space="preserve">UPLIFT CHARGES NONBYPASSABLE.  An order issued under Section 39.653, 39.654, or 39.655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terms ensuring that the imposition and collection of uplift charges authorized in the order shall be nonbypassable, except for entities excluded under Section 39.653(d);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independent organization to establish appropriate fees and other methods for pursuing amounts owed from entities exiting the wholesale market.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39.657.</w:t>
      </w:r>
      <w:r>
        <w:rPr>
          <w:u w:val="single"/>
        </w:rPr>
        <w:t xml:space="preserve"> </w:t>
      </w:r>
      <w:r>
        <w:rPr>
          <w:u w:val="single"/>
        </w:rPr>
        <w:t xml:space="preserve"> </w:t>
      </w:r>
      <w:r>
        <w:rPr>
          <w:u w:val="single"/>
        </w:rPr>
        <w:t xml:space="preserve">TRUE-UP.  An order shall include a mechanism requiring that uplift charges be reviewed and adjusted at least annually, not later than the 45th day after the anniversary date of the issuance of the debt obligations,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over-collections or under-collections over the preceding 12 months;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expected recovery of amounts sufficient to timely provide all payments of debt service and other required amounts and charges in connection with the debt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39.658.</w:t>
      </w:r>
      <w:r>
        <w:rPr>
          <w:u w:val="single"/>
        </w:rPr>
        <w:t xml:space="preserve"> </w:t>
      </w:r>
      <w:r>
        <w:rPr>
          <w:u w:val="single"/>
        </w:rPr>
        <w:t xml:space="preserve"> </w:t>
      </w:r>
      <w:r>
        <w:rPr>
          <w:u w:val="single"/>
        </w:rPr>
        <w:t xml:space="preserve">TAX EXEMPTION.  Transactions involving the transfer and ownership of uplift property and the receipt of uplift charges are exempt from state and local income, sales, franchise, gross receipts, and other taxes or similar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39.659.</w:t>
      </w:r>
      <w:r>
        <w:rPr>
          <w:u w:val="single"/>
        </w:rPr>
        <w:t xml:space="preserve"> </w:t>
      </w:r>
      <w:r>
        <w:rPr>
          <w:u w:val="single"/>
        </w:rPr>
        <w:t xml:space="preserve"> </w:t>
      </w:r>
      <w:r>
        <w:rPr>
          <w:u w:val="single"/>
        </w:rPr>
        <w:t xml:space="preserve">SEVERABILITY.  Effective on the date the first debt obligations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debt obligations or to any actions of the independent organization, its successors, an assignee, a collection agent, or a financing party, which shall remain in full force and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w:t>
      </w:r>
      <w:r>
        <w:rPr>
          <w:u w:val="single"/>
        </w:rPr>
        <w:t xml:space="preserve"> </w:t>
      </w:r>
      <w:r>
        <w:rPr>
          <w:u w:val="single"/>
        </w:rPr>
        <w:t xml:space="preserve"> </w:t>
      </w:r>
      <w:r>
        <w:rPr>
          <w:u w:val="single"/>
        </w:rPr>
        <w:t xml:space="preserve">CUSTOMER CHARGES.  All load-serving entities that receive offsets to specific uplift charges from the independent organization under this subchapter must adjust customer invoices to reflect the offsets for any charges that were or would otherwise be passed through to customers under the terms of service with the load-serving entity, including by providing a refund for any offset charges that were previously paid.  An electric cooperative, including an electric cooperative that elects to receive offsets, shall not otherwise become subject to rate regulation by the commission and receipt of offsets does not affect the applicability of Chapter 41 to an electric cooperative.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39.661.</w:t>
      </w:r>
      <w:r>
        <w:rPr>
          <w:u w:val="single"/>
        </w:rPr>
        <w:t xml:space="preserve"> </w:t>
      </w:r>
      <w:r>
        <w:rPr>
          <w:u w:val="single"/>
        </w:rPr>
        <w:t xml:space="preserve"> </w:t>
      </w:r>
      <w:r>
        <w:rPr>
          <w:u w:val="single"/>
        </w:rPr>
        <w:t xml:space="preserve">ENFORCEMENT.  The commission may use any enforcement mechanism established by Chapter 15 or this chapter, including revocation of certification by the commission, against any entity that fails to remit excess receipts from the uplift balance financing under Section 39.653(e) or otherwise misappropriates or misuses amounts received from the uplift balance financing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39.662.</w:t>
      </w:r>
      <w:r>
        <w:rPr>
          <w:u w:val="single"/>
        </w:rPr>
        <w:t xml:space="preserve"> </w:t>
      </w:r>
      <w:r>
        <w:rPr>
          <w:u w:val="single"/>
        </w:rPr>
        <w:t xml:space="preserve"> </w:t>
      </w:r>
      <w:r>
        <w:rPr>
          <w:u w:val="single"/>
        </w:rPr>
        <w:t xml:space="preserve">PROPERTY RIGHTS.  (a)  The rights and interests of the independent organization or its successor under a debt obligation order issued under this subchapter, including the right to impose, collect, and receive uplift charges authorized in a debt obligation order under this subchapter, shall be only contract rights until they are first transferred to an assignee or pledged in connection with the issuance of a financing agreement entered into under Section 39.654(a) or the issuance of debt obligations, at which time they will become uplift property, as described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Uplift property shall constitute a present property right for purposes of contracts concerning the sale or pledge of property, even though the imposition and collection of uplift charges depends on further acts of the independent organization or others that have not yet occurred.  A debt obligation order issued under this subchapter shall remain in effect and the property shall continue to exist for the same period as the pledge of the state described by Section 39.663.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revenues and collections resulting from uplift charges shall constitute proceeds only of the uplift property arising from the debt obligation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39.663.</w:t>
      </w:r>
      <w:r>
        <w:rPr>
          <w:u w:val="single"/>
        </w:rPr>
        <w:t xml:space="preserve"> </w:t>
      </w:r>
      <w:r>
        <w:rPr>
          <w:u w:val="single"/>
        </w:rPr>
        <w:t xml:space="preserve"> </w:t>
      </w:r>
      <w:r>
        <w:rPr>
          <w:u w:val="single"/>
        </w:rPr>
        <w:t xml:space="preserve">PLEDGE OF STATE.  Debt obligations issued pursuant to this subchapter, including any bonds, are not a debt or obligation of the state and are not a charge on its full faith and credit or taxing power.  The state pledges, however, for the benefit and protection of financing parties and the independent organization that it will not take or permit any action that would impair the value of uplift property, or reduce, alter, or impair the uplift charges to be imposed, collected, and remitted to financing parties, until the principal, interest and premium, and any other charges incurred and contracts to be performed in connection with the related debt obligations have been paid and performed in full.  Any party issuing a debt obligation under this subchapter is authorized to include this pledge in any documentation relating to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39.664.</w:t>
      </w:r>
      <w:r>
        <w:rPr>
          <w:u w:val="single"/>
        </w:rPr>
        <w:t xml:space="preserve"> </w:t>
      </w:r>
      <w:r>
        <w:rPr>
          <w:u w:val="single"/>
        </w:rPr>
        <w:t xml:space="preserve"> </w:t>
      </w:r>
      <w:r>
        <w:rPr>
          <w:u w:val="single"/>
        </w:rPr>
        <w:t xml:space="preserve">LEGAL ACTIONS INVOLVING PRICING OR UPLIFT ACTIONS.  A load-serving entity that receives proceeds from the financing under this subchapter shall return an amount of the proceeds equal to any amount of money received by the entity due to litigation seeking judicial review of pricing or uplift actions taken by the commission or the independent organization in connection with the period of emergency.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independent organization to which Section 39.653(a), Utilities Code, applies shall file the application required by that section not later than the 30th day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404.0241(b-2) and (b-3), Government Code, as added by this Act, apply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4492 was passed by the House on May 6, 2021, by the following vote:</w:t>
      </w:r>
      <w:r xml:space="preserve">
        <w:t> </w:t>
      </w:r>
      <w:r xml:space="preserve">
        <w:t> </w:t>
      </w:r>
      <w:r>
        <w:t xml:space="preserve">Yeas 129, Nays 15, 1 present, not voting; that the House refused to concur in Senate amendments to H.B. No. 4492 on May 28, 2021, and requested the appointment of a conference committee to consider the differences between the two houses; and that the House adopted the conference committee report on H.B. No. 4492 on May 30, 2021, by the following vote:</w:t>
      </w:r>
      <w:r xml:space="preserve">
        <w:t> </w:t>
      </w:r>
      <w:r xml:space="preserve">
        <w:t> </w:t>
      </w:r>
      <w:r>
        <w:t xml:space="preserve">Yeas 116, Nays 18,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4492 was passed by the Senate, with amendments, on May 26, 2021,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4492 on May 30, 2021,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