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87R1632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requirements and procedures concerning the assignment of grades by a classroom teacher under a school district's grading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28.0216,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28.0216.</w:t>
      </w:r>
      <w:r xml:space="preserve">
        <w:t> </w:t>
      </w:r>
      <w:r xml:space="preserve">
        <w:t> </w:t>
      </w:r>
      <w:r>
        <w:t xml:space="preserve">DISTRICT GRADING POLICY.  A school district shall adopt a grading policy, including provisions for the assignment of grades on class assignments and examinations, before each school year.</w:t>
      </w:r>
      <w:r xml:space="preserve">
        <w:t> </w:t>
      </w:r>
      <w:r xml:space="preserve">
        <w:t> </w:t>
      </w:r>
      <w:r>
        <w:t xml:space="preserve">A district grading policy: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require a classroom teacher to assign a grade that reflects the student's relative mastery of an assignment;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require a classroom teacher to assign a minimum grade for an assignment without regard to the student's quality of work;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allow a student a reasonable opportunity to make up or redo a class assignment or examination for which the student received a failing grade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state that a classroom teacher has the sole responsibility to assign a student's grade without interference, including interference by a school counselor or school administrator;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provide procedures for protecting classroom teachers from outside influence over grading decisions, including procedures that protect a classroom teacher from being: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forced to alter a grade;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bullied or retaliated against for an assigned grade;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provide for disciplinary action against a district employee who engages in conduct described by Subdivision (5)(A) or (B) or otherwise improperly attempts to force a classroom teacher to change an assigned grade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