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87R11617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planning for equity of access to and safety and diversity of transportation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201.601(a), (a-1),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develop a statewide transportation plan covering a period of 24 years that contains </w:t>
      </w:r>
      <w:r>
        <w:rPr>
          <w:u w:val="single"/>
        </w:rPr>
        <w:t xml:space="preserve">safe options for</w:t>
      </w:r>
      <w:r>
        <w:t xml:space="preserve"> all modes of transportation,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walking, by pedestrians of all ages and abilities;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bicycling;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highways and turnpikes;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aviation;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mass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railroads and high-speed railroads;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water traffic.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plan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contain specific and clearly defined transportation system strategies, long-term transportation goals for the state and measurable targets for each goal, and other related performance measures;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priority corridors, projects, or areas of the state that are of particular concern to the department in meeting the goals established under Subdivision (1);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contain a participation plan specifying methods for obtaining formal input on the goals and priorities identified under this subsection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other state agencies;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political subdivisions;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local transportation entities;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general public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methodologies to plan for equitable access to transportation systems by all area residents;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 alternative design and investment options, alternative growth forecasts, and robust alternative travel demand models that will ensure equity among the area's residents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plan must include a component that is not financially constrained and identifies transportation improvements designed to relieve congestion</w:t>
      </w:r>
      <w:r>
        <w:rPr>
          <w:u w:val="single"/>
        </w:rPr>
        <w:t xml:space="preserve">, end traffic deaths, and increase safe and fast transportation access by all modes of transportation</w:t>
      </w:r>
      <w:r>
        <w:t xml:space="preserve">.</w:t>
      </w:r>
      <w:r xml:space="preserve">
        <w:t> </w:t>
      </w:r>
      <w:r xml:space="preserve">
        <w:t> </w:t>
      </w:r>
      <w:r>
        <w:t xml:space="preserve">In developing this component of the plan, the department shall seek opinions and assistance from officials who have local responsibility for modes of transportation listed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201.620,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201.620.</w:t>
      </w:r>
      <w:r xml:space="preserve">
        <w:t> </w:t>
      </w:r>
      <w:r xml:space="preserve">
        <w:t> </w:t>
      </w:r>
      <w:r>
        <w:t xml:space="preserve">COORDINATION WITH METROPOLITAN PLANNING ORGANIZATIONS TO DEVELOP LONG-TERM PLANNING ASSUMPTIONS.  </w:t>
      </w:r>
      <w:r>
        <w:rPr>
          <w:u w:val="single"/>
        </w:rPr>
        <w:t xml:space="preserve">(a)</w:t>
      </w:r>
      <w:r>
        <w:t xml:space="preserve"> The department shall collaborate with metropolitan planning organizations to develop mutually acceptable assumptions for the purposes of long-range federal and state funding forecasts and use those assumptions to guide long-term planning in the statewide transportation plan under Section 201.601.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assumptions under Subsection (a) must be developed: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through a public process;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methodologies to plan for equitable access to transportation systems by all area residents;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a range of reasonable alternative future population and job growth scenarios and travel demand models.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