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87R11615 MP-F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Morales Shaw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4515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design considerations of transportation projects by the Texas Department of Transportation.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201.615, Transportation Code, is amended by amending Subsection (a) and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department shall consider the following factors when developing transportation projects that involve the construction, reconstruction, rehabilitation, or resurfacing of a highway, other than a maintenance resurfacing project: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extent to which the project promotes safety;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durability of the project;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economy of maintenance of the project;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impact of the project on: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natural and artificial environment;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scenic and aesthetic character of the area in which the project is located;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preservation efforts;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each affected local community and its economy;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access for other modes of transportation, including those that promote physically active communities;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except as provided by Subsection (c), the aesthetic character of the project, including input from each affected local community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provided by Subsection (d), an alternative design for the project that has been approved by a vote of the governing body of a municipality that represents an affected local community;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negative impacts to an affected local community from previous transportation projects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(a)(7) does not apply to a transportation project if the department finds that an alternative design for a transportation project approved by the governing body of a municipality is frivolous, unreasonable, or intended to delay a transportation project.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4515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