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87R22423 BDP-F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approval of career and technology courses by the State Board of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28.002(o),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In approving career and technology courses, the State Board of Education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determine that at least 50 percent of the approved courses are cost-effective for a school district to implement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scheduling or initiating a course review to provide updated and relevant course offerings, consider relevant economic and market conditions affecting the workforce of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