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4525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career and technology courses by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28.002(o), Education Code, is amended to read as follows:</w:t>
      </w:r>
    </w:p>
    <w:p w:rsidR="003F3435" w:rsidRDefault="0032493E">
      <w:pPr>
        <w:spacing w:line="480" w:lineRule="auto"/>
        <w:ind w:firstLine="720"/>
        <w:jc w:val="both"/>
      </w:pPr>
      <w:r>
        <w:t xml:space="preserve">(o)</w:t>
      </w:r>
      <w:r xml:space="preserve">
        <w:t> </w:t>
      </w:r>
      <w:r xml:space="preserve">
        <w:t> </w:t>
      </w:r>
      <w:r>
        <w:t xml:space="preserve">In approving career and technology courses, the State Board of Education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determine that at least 50 percent of the approved courses are cost-effective for a school district to implement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 courses that are offered online or through an Internet portal maintained by the district or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list of approved courses at least  annually and as needed to provide current and relevant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