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peace officers on the laws pertaining to forced abortions.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As part of the minimum curriculum requirements, the commission shall require an officer to complete the education and training program developed under Section 1701.269 on the laws pertaining to forced abortions.  An officer shall complete the program not later than the last day of the first full continuing education training period after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ON LAWS PERTAINING TO FORCED ABORTIONS.  (a)  The commission shall develop a one-hour education and training program on the laws pertaining to forced abortions.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instruction related to the circumstances under which forced abortions commonly occur, the rights of pregnant women, including minors.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review the content of the training program under this section and update the program as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Commission on Law Enforcement shall establish the education and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1701.253(q), Occupations Code, as added by this Act, applies only to a person who submits an application for a peace officer license under Chapter 1701, Occupations Code, on or after January 1, 2022.  A person who submits an application for a peace officer license under Chapter 1701, Occupations Code,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