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87R12116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20A.02(b),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flees from a person the actor knows is a peace officer or federal special investigator attempting lawfully to arrest or detain the actor for conduct constituting an offense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