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4532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operation of a transportation project by a regional mobility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370.003(14), Transportation Code, are amended to read as follows:</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 [</w:t>
      </w:r>
      <w:r>
        <w:rPr>
          <w:strike/>
        </w:rPr>
        <w:t xml:space="preserve">and</w:t>
      </w:r>
      <w:r>
        <w:t xml:space="preserve">]</w:t>
      </w:r>
    </w:p>
    <w:p w:rsidR="003F3435" w:rsidRDefault="0032493E">
      <w:pPr>
        <w:spacing w:line="480" w:lineRule="auto"/>
        <w:ind w:firstLine="2160"/>
        <w:jc w:val="both"/>
      </w:pPr>
      <w:r>
        <w:t xml:space="preserve">(Q)</w:t>
      </w:r>
      <w:r xml:space="preserve">
        <w:t> </w:t>
      </w:r>
      <w:r xml:space="preserve">
        <w:t> </w:t>
      </w:r>
      <w:r>
        <w:t xml:space="preserve">an aerial cable car or aerial tramway for the transportation of persons or property, or both, that is located in the jurisdiction of an authority created under Section 370.031(c)</w:t>
      </w:r>
      <w:r>
        <w:rPr>
          <w:u w:val="single"/>
        </w:rPr>
        <w:t xml:space="preserve">; and</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an urban green space or aesthetic enhancement located adjacent to or connected with an interstate highway, which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recreational, bicycle, and pedestrian facilities;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intermodal hub;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parking areas, and which may include components, which will:</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benefit a transit provider;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promote economic development in areas adjacent to the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