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87R12247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4549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for pregnancy resource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174 to read as follows:</w:t>
      </w:r>
    </w:p>
    <w:p w:rsidR="003F3435" w:rsidRDefault="0032493E">
      <w:pPr>
        <w:spacing w:line="480" w:lineRule="auto"/>
        <w:jc w:val="center"/>
      </w:pPr>
      <w:r>
        <w:rPr>
          <w:u w:val="single"/>
        </w:rPr>
        <w:t xml:space="preserve">CHAPTER 174.  PREGNANCY RESOURCE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174.001.</w:t>
      </w:r>
      <w:r>
        <w:rPr>
          <w:u w:val="single"/>
        </w:rPr>
        <w:t xml:space="preserve"> </w:t>
      </w:r>
      <w:r>
        <w:rPr>
          <w:u w:val="single"/>
        </w:rPr>
        <w:t xml:space="preserve"> </w:t>
      </w:r>
      <w:r>
        <w:rPr>
          <w:u w:val="single"/>
        </w:rPr>
        <w:t xml:space="preserve">DEFINITION.  In this chapter, "pregnancy resource center" means an organization, including a pregnancy counseling organization, crisis pregnancy center, pregnancy care center, or pregnancy support center, that for a fee or free of charge provides pregnancy counseling or information but: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perform abortions or make referrals to an abortion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or make referrals for comprehensive birth control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licensed or certified by this state or the federal government to provide medical or health care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required to have a physician under contract to provide or directly supervise all health care services provided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174.002.</w:t>
      </w:r>
      <w:r>
        <w:rPr>
          <w:u w:val="single"/>
        </w:rPr>
        <w:t xml:space="preserve"> </w:t>
      </w:r>
      <w:r>
        <w:rPr>
          <w:u w:val="single"/>
        </w:rPr>
        <w:t xml:space="preserve"> </w:t>
      </w:r>
      <w:r>
        <w:rPr>
          <w:u w:val="single"/>
        </w:rPr>
        <w:t xml:space="preserve">MINIMUM STANDARDS.  (a) </w:t>
      </w:r>
      <w:r>
        <w:rPr>
          <w:u w:val="single"/>
        </w:rPr>
        <w:t xml:space="preserve"> </w:t>
      </w:r>
      <w:r>
        <w:rPr>
          <w:u w:val="single"/>
        </w:rPr>
        <w:t xml:space="preserve">The executive commissioner by rule shall prescribe minimum standards for pregnancy resource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minimum standards must protect the health and safety of a patient of a pregnancy resource center and contain provisions requiring compliance with the requirements of Subchapter B, Chapter 171. On and after September 1, 2021, the minimum standards for a pregnancy resource center must be equivalent to the minimum standards adopted for ambulatory surgical centers under Section 243.010.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Pregnancy resource centers must have at least one licensed obstetrician or gynecologist present when providing services to a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executive commissioner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qualifications of a licensed health care practitioner;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person to provide health care services who is not authorized to provide those services under other laws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pregnancy resource center or health care practitioner that violates this section is subject to disciplinary action by the state agency that regulates the center or practitioner as if the center or practitioner had violated the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rules necessary to implement Chapter 174,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