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87R12237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4552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pregnancy resource center reporting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PREGNANCY RESOURCE CENTERS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  In this chapter, "pregnancy resource center" means an organization, including a pregnancy counseling organization, crisis pregnancy center, pregnancy care center, or pregnancy support center, that for a fee or free of charge provides pregnancy counseling or information but: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perform abortions or make referrals to an abortion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provide or make referrals for comprehensive birth control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licensed or certified by this state or the federal government to provide medical or health care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not required to have a physician under contract to provide or directly supervise all health care services provided by the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REPORTING REQUIREMENTS.  (a) </w:t>
      </w:r>
      <w:r>
        <w:rPr>
          <w:u w:val="single"/>
        </w:rPr>
        <w:t xml:space="preserve"> </w:t>
      </w:r>
      <w:r>
        <w:rPr>
          <w:u w:val="single"/>
        </w:rPr>
        <w:t xml:space="preserve">Each pregnancy resource center shall submit a monthly report to the commission containing information on each patient receiving services provided by the center. </w:t>
      </w:r>
      <w:r>
        <w:rPr>
          <w:u w:val="single"/>
        </w:rPr>
        <w:t xml:space="preserve"> </w:t>
      </w:r>
      <w:r>
        <w:rPr>
          <w:u w:val="single"/>
        </w:rPr>
        <w:t xml:space="preserve">The report must be submitted on the form prescribed by the commission and made available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licensing status of the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patient's year of birth, race, marital status, and county and state of residence;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services provided;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the services were provided;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probable post-fertilization age of the unborn child based on the best judgment of the attending physician or other health care practitioner at the time services were provided;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if known, of each patient's last menstrual cycle;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number of previous live births of each patient;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previous induced abortions of each patient, if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15th day of each month, the pregnancy resource center shall submit to the commission the report required by this section for each person receiving services provided by the center in the preceding calendar month.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provide the information submitted under this section biannually in a report to the members of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remove the name, birth date, and any other personal identifying information of a patient from a report submitted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pregnancy resource center or health care practitioner that violates this section is subject to disciplinary action by the state agency that regulates the center or practitioner as if the center or practitioner had violated the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