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running for office that has been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141.001.</w:t>
      </w:r>
      <w:r xml:space="preserve">
        <w:t> </w:t>
      </w:r>
      <w:r xml:space="preserve">
        <w:t> </w:t>
      </w:r>
      <w:r>
        <w:t xml:space="preserve">ELIGIBILITY REQUIREMENTS FOR PUBLIC OFFICE.  (a)  To be eligible to be a candidate for, or elected or appointed to, a public elective office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18 years of age or older on the first day of the term to be filled at the election or on the date of appointment, as applicable;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have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not been finally convicted of a felony from which the person has not been pardoned or otherwise released from the resulting disabilities, and </w:t>
      </w:r>
      <w:r>
        <w:rPr>
          <w:u w:val="single"/>
        </w:rPr>
        <w:t xml:space="preserve">before filing as a candidate must;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proof that they have been pardoned,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been released from the resulting disabilities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have resided continuously in the state for 12 months and in the territory from which the office is elected for six months immediately preceding the following date: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candidate whose name is to appear on a general primary election ballot,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an independent candidate, the date of the regular filing deadline for a candidate's application for a place on the ballot;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a write-in candidate, the date of the election at which the candidate's name is written in;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for a party nominee who is nominated by any method other than by primary election, the date the nomination is made;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an appointee to an office, the date the appointment is made;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 the date described by Subdivision (5), be registered to vote in the territory from which the office is elected;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satisfy any other eligibility requirements prescribed by law for the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For purposes of satisfying the continuous residency requirement of Subsection (a)(5), a person who claims an intent to return to a residence after a temporary absence may establish that intent only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made a reasonable and substantive attempt to effectuate that intent;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a legal right and the practical ability to return to the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Subsection (a-1) does not apply to a person displaced from the person's residence due to a declared local, state, or national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(a-3)</w:t>
      </w:r>
      <w:r xml:space="preserve">
        <w:t> </w:t>
      </w:r>
      <w:r xml:space="preserve">
        <w:t> </w:t>
      </w:r>
      <w:r>
        <w:t xml:space="preserve">The authority with whom an application for a place on a general primary election ballot is filed under Section 172.022 shall, to the extent permitted by law, use Subsections (a) and (a-1) in determining whether a candidate meets the residency requirements for a public elective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statute outside this code supersedes Subsection (a) to the extent of any conflict.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(a) does not apply to an office for which the federal or state constitution or a statute outside this code prescribes exclusive eligibility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Subsection (a)(6) does not apply to a member of the governing body of a district created under Section 52(b)(1) or (2), Article III, or Section 59, Article XVI, Texas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(a-4)</w:t>
      </w:r>
      <w:r xml:space="preserve">
        <w:t> </w:t>
      </w:r>
      <w:r xml:space="preserve">
        <w:t> </w:t>
      </w:r>
      <w:r>
        <w:rPr>
          <w:u w:val="single"/>
        </w:rPr>
        <w:t xml:space="preserve">A person filing as a candidate under subsection (a) that has been convicted of a felony and fails to acknowledge on any election filing form they were convicted of a felony is an offense punishable under Section 37.10 of the Penal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