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4559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load shed protocols within the ERCOT power region; authorizing a study.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Public Utility Commission of Texas shall work with the independent organization certified under Section 39.151, Utilities Code, for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and provide an analysis of load shed protocols implemented by the independent organization during extreme weather events, to determine whether residential elderly customers, low income residential customers, or residential customers with high risk medical conditions, experience harmful effects from the protocols;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changes that may be required to improve reliability of the electric grid system, including reducing rolling blackouts during extreme weather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analysis under Subsection (a) of this section,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stakeholder input and consider all generation resources, including distributed generation, electric storage, demand response, energy efficiency, and power generation;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a public hearing and the submission of public comment.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submit the study described by Subsection (a) to the lieutenant governor, the speaker of the house of representatives, and the members of the legislature not later than December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