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Anchia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 and duties of the Railroad Commission of Texas; providing an administrative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Subchapter A, Chapter 81, Subtitle A, Title 3,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81.058.</w:t>
      </w:r>
      <w:r xml:space="preserve">
        <w:t> </w:t>
      </w:r>
      <w:r xml:space="preserve">
        <w:t> </w:t>
      </w:r>
      <w:r>
        <w:t xml:space="preserve">ADMINISTRATIVE PENALTY FOR CERTAIN NATURAL GAS-RELATED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commission, after notice and opportunity for hearing, may impose an administrative penalty against a purchaser, transporter, gatherer, shipper, or seller of natural gas, a person described by Section 81.051(a) or 111.081(a), or any other entity under the jurisdiction of the commission under this code that the commission determines has: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violated a commission rule adopting standards or a code of conduct for entities in the natural gas industry prohibiting unlawful discrimination;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unreasonably discriminated against a seller of natural gas in the purchase of natural gas from the seller[</w:t>
      </w:r>
      <w:r>
        <w:rPr>
          <w:strike/>
        </w:rPr>
        <w:t xml:space="preserve">.];</w:t>
      </w:r>
      <w:r>
        <w:t xml:space="preserve">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sold natural gas used in the production and generation of electricity intended for sale and use on the Texas electric grid at an excessive price during a declared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commission, after notice and opportunity for hearing, may impose an administrative penalty against a purchaser, transporter, or gatherer of natural gas if the commission determines that the person engaged in prohibited discrimination against a shipper or seller of natural gas because the shipper or seller filed a formal or informal complaint with the commission against the person relating to the person's purchase, transportation, or gathering of the gas.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commission, after notice and opportunity for hearing, may impose an administrative penalty against a purchaser, transporter, gatherer, shipper, or seller of natural gas who is a party to an informal complaint resolution proceeding and is determined by the commission to have: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failed to participate in the proceeding;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failed to provide information requested by a mediator in the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administrative penalty imposed under this section may not exceed [</w:t>
      </w:r>
      <w:r>
        <w:rPr>
          <w:strike/>
        </w:rPr>
        <w:t xml:space="preserve">$5,000</w:t>
      </w:r>
      <w:r>
        <w:t xml:space="preserve">] </w:t>
      </w:r>
      <w:r>
        <w:rPr>
          <w:u w:val="single"/>
        </w:rPr>
        <w:t xml:space="preserve">$250,000</w:t>
      </w:r>
      <w:r>
        <w:t xml:space="preserve"> a day for each violation. </w:t>
      </w:r>
      <w:r>
        <w:t xml:space="preserve"> </w:t>
      </w:r>
      <w:r>
        <w:t xml:space="preserve">Each day a violation continues or occurs is a separate violation for purposes of imposing a penalty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If the commission determines after notice and opportunity for hearing that an entity has engaged in prohibited discrimination for which a penalty may be imposed under this section, the commission may issue any order necessary and reasonable to prevent the discrimination from continuing.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remedy provided by this section is cumulative of any other remedy the commission may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81.061.</w:t>
      </w:r>
      <w:r xml:space="preserve">
        <w:t> </w:t>
      </w:r>
      <w:r xml:space="preserve">
        <w:t> </w:t>
      </w:r>
      <w:r>
        <w:t xml:space="preserve">AUTHORITY TO ESTABLISH MARKET-BASED RATES.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does not apply to rates established under Chapter 103, Utilities Code, or Subchapter C or G, Chapter 104, of that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may use a cost-of-service method or a market-based rate method in setting a rate in a formal rate proceeding. </w:t>
      </w:r>
      <w:r>
        <w:t xml:space="preserve"> </w:t>
      </w:r>
      <w:r>
        <w:rPr>
          <w:u w:val="single"/>
        </w:rPr>
        <w:t xml:space="preserve">If the rate case is the result of a complaint filed for declared disaster excessive pricing, the commission must use  an average market price of the three months preceding the declared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 the filing of a complaint by a shipper or seller of natural gas, the commission may set a transportation or gathering rate in a formal rate proceeding if the commission determines that the rate is necessary to remedy unreasonable discrimination in the provision of transportation or gathering services. </w:t>
      </w:r>
      <w:r>
        <w:t xml:space="preserve"> </w:t>
      </w:r>
      <w:r>
        <w:t xml:space="preserve">The commission may set a rate regardless of whether the transporter or gatherer is classified as a utility by other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filing of a complaint of excessive price by a  power generation company acting as a purchaser of natural gas and registered with the Texas Public Utility Commission under Substantive Rule 25.5 (54), the commission shall set a rate in a formal rate proceeding if the commission determines that the  rate is necessary to remedy excessive pricing during a declared  disaster period or shortage.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