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87R22356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4564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posting a notice of a foreclosure sale on a county's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51.002(f-1),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(f-1)</w:t>
      </w:r>
      <w:r xml:space="preserve">
        <w:t> </w:t>
      </w:r>
      <w:r xml:space="preserve">
        <w:t> </w:t>
      </w:r>
      <w:r>
        <w:t xml:space="preserve">If a county maintains an Internet website, the county must </w:t>
      </w:r>
      <w:r>
        <w:rPr>
          <w:u w:val="single"/>
        </w:rPr>
        <w:t xml:space="preserve">prominently</w:t>
      </w:r>
      <w:r>
        <w:t xml:space="preserve"> post a notice of sale filed with the county clerk under Subsection (b)(2) on the website on a page </w:t>
      </w:r>
      <w:r>
        <w:rPr>
          <w:u w:val="single"/>
        </w:rPr>
        <w:t xml:space="preserve">where the county posts other auction information and</w:t>
      </w:r>
      <w:r>
        <w:t xml:space="preserve"> that is publicly available for viewing without charge or registration.  </w:t>
      </w:r>
      <w:r>
        <w:rPr>
          <w:u w:val="single"/>
        </w:rPr>
        <w:t xml:space="preserve">Along with each notice of sale posted under this subsection, the county must post the following information on the same website page on which the notice is posted: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date, time, and location of the sale;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bidder eligibility;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where and to whom to make a payment for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