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87R12110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posting a notice of a foreclosure sale on a county's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51.002(f-1),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(f-1)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If a county maintains an Internet website, the</w:t>
      </w:r>
      <w:r>
        <w:t xml:space="preserve">] county </w:t>
      </w:r>
      <w:r>
        <w:rPr>
          <w:u w:val="single"/>
        </w:rPr>
        <w:t xml:space="preserve">shall prominently</w:t>
      </w:r>
      <w:r>
        <w:t xml:space="preserve"> [</w:t>
      </w:r>
      <w:r>
        <w:rPr>
          <w:strike/>
        </w:rPr>
        <w:t xml:space="preserve">must</w:t>
      </w:r>
      <w:r>
        <w:t xml:space="preserve">] post a notice of sale filed with the county clerk under Subsection (b)(2) on the </w:t>
      </w:r>
      <w:r>
        <w:rPr>
          <w:u w:val="single"/>
        </w:rPr>
        <w:t xml:space="preserve">county's Internet</w:t>
      </w:r>
      <w:r>
        <w:t xml:space="preserve"> website on a page that is publicly available for viewing without charge or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