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87R13012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granting the State Pension Review Board the authority to enforce certain requirements applicable to public retirement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802.003(d),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State Pension Review Board may file an appropriate pleading, in the manner provided by this section for filing by an individual, for the purpose of enforcing a requirement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Subchapter B or C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law that imposes a requirement on a public retirement system in relation to the board</w:t>
      </w:r>
      <w:r>
        <w:t xml:space="preserve">[</w:t>
      </w:r>
      <w:r>
        <w:rPr>
          <w:strike/>
        </w:rPr>
        <w:t xml:space="preserve">, other than a requirement of Section 802.101(a), 802.101(d), 802.102, 802.103(a), or 802.104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