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87R15861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4571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4571: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intellectual and developmental disabilities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M-2.  STATEWIDE INTELLECTUAL AND DEVELOPMENTAL DISABILITIES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intellectual and developmental disabilities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 The council is established to ensure a strategic statewide approach to intellectual and developmental disabilities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 The council is composed of the following members: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(b), one or more representatives designated by each of the following entities: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Center for Disability Services at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at Austin;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on Disability and Development at Texas A&amp;M University;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Criminal Justice;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Commission on Jail Standards;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following members appointed by the executive commissioner: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a local intellectual and developmental disability authority as defined by Section 531.002,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Governor's Committee on People with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Texas Council for Developmental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Arc of Texas;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a managed care organization;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provider of Medicaid long-term services and supports;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or family member of an individual with an intellectual or developmental disability;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commission's office of the ombudsman;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representatives of the commission, with one representative appointed from each division of the commission with responsibility for: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Medicaid and the State Children's Health Insurance Program services;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intellectual and developmental disability behavioral health services;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specialty care system employment;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health, developmental, and independence services;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and eligibility services;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members as needed who are recognized experts serving individuals with intellectual and developmental disabilities or who represent the interests of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entity may designate under Subsection (a)(1)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institution that provides specific intellectual and developmental disabilities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executive commissioner shall designate a member of the council to serve as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monitor the implementation of a five-year statewide intellectual and developmental disabilities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intellectual and developmental disabilities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state-funded intellectual and developmental disability programs and services that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how those programs and services further the purpose of the statewide intellectual and developmental disabilities strategic plan;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estimate of the number of individuals waiting for or interested in receiving those programs and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intellectual and developmental disability services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