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87R15861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4571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4571: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Hull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4571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statewide intellectual and developmental disabilities coordinating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531, Government Code, is amended by adding Subchapter M-2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M-2.  STATEWIDE INTELLECTUAL AND DEVELOPMENTAL DISABILITIES COORDINATING COUNCIL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"council" means the statewide intellectual and developmental disabilities coordinating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PURPOSE.  The council is established to ensure a strategic statewide approach to intellectual and developmental disabilities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COMPOSITION OF COUNCIL.  (a)  The council is composed of the following members: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(b), one or more representatives designated by each of the following entities: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State Health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Family and Protective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Workforce Commission;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Education Agency;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Center for Disability Services at</w:t>
      </w:r>
      <w:r>
        <w:rPr>
          <w:u w:val="single"/>
        </w:rPr>
        <w:t xml:space="preserve"> </w:t>
      </w:r>
      <w:r>
        <w:rPr>
          <w:u w:val="single"/>
        </w:rPr>
        <w:t xml:space="preserve">The University of Texas at Austin;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Center on Disability and Development at Texas A&amp;M University;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Department of Criminal Justice;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Commission on Jail Standards;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following members appointed by the executive commissioner: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representative of a local intellectual and developmental disability authority as defined by Section 531.002,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representative of the Governor's Committee on People with Disabilities;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representative of the Texas Council for Developmental Disabilities;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representative of the Arc of Texas;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representative of a managed care organization;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provider of Medicaid long-term services and supports;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or family member of an individual with an intellectual or developmental disability;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representative of the commission's office of the ombudsman;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representatives of the commission, with one representative appointed from each division of the commission with responsibility for: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Medicaid and the State Children's Health Insurance Program services;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intellectual and developmental disability behavioral health services;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and specialty care system employment;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health, developmental, and independence services;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and eligibility services;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members as needed who are recognized experts serving individuals with intellectual and developmental disabilities or who represent the interests of individuals with intellectual and developmental disabilities.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determine the number of representatives that each entity may designate under Subsection (a)(1) to serve on the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may authorize another state agency or institution that provides specific intellectual and developmental disabilities services with the use of appropriated money to designate a representative to the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council member serves at the pleasure of the designating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PRESIDING OFFICER.  The executive commissioner shall designate a member of the council to serve as the presiding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MEETINGS.  The council shall meet at least once quarterly or more frequently at the call of the presiding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531.496.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POWERS AND DUTIES.  The council: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develop and monitor the implementation of a five-year statewide intellectual and developmental disabilities strategic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develop a biennial coordinated statewide intellectual and developmental disabilities expenditure proposal;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annually publish an updated inventory of state-funded intellectual and developmental disability programs and services that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how those programs and services further the purpose of the statewide intellectual and developmental disabilities strategic plan;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estimate of the number of individuals waiting for or interested in receiving those programs and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facilitate opportunities to increase collaboration for the effective expenditure of available federal and state funds for intellectual and developmental disability services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4571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