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Rose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4571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statewide intellectual and developmental disabilities coordinating council.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531, Government Code, is amended by adding Subchapter M-2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M-2. </w:t>
      </w:r>
      <w:r>
        <w:rPr>
          <w:u w:val="single"/>
        </w:rPr>
        <w:t xml:space="preserve"> </w:t>
      </w:r>
      <w:r>
        <w:rPr>
          <w:u w:val="single"/>
        </w:rPr>
        <w:t xml:space="preserve">STATEWIDE INTELLECTUAL AND DEVELOPMENTAL DISABILITIES COORDINATING COUNCIL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531.477.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DEFINITION. </w:t>
      </w:r>
      <w:r>
        <w:rPr>
          <w:u w:val="single"/>
        </w:rPr>
        <w:t xml:space="preserve"> </w:t>
      </w:r>
      <w:r>
        <w:rPr>
          <w:u w:val="single"/>
        </w:rPr>
        <w:t xml:space="preserve">In this subchapter, "council" means the statewide intellectual and developmental disabilities coordinating council.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531.478.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PURPOSE.  The council is established to ensure a strategic statewide approach to intellectual and developmental disabilities services.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531.479.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COMPOSITION OF COUNCIL.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The council is composed of at least one representative designated by each of the following entities: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Health and Human Services Commission-Medicaid, IDD, Health and Specialty Care, HDIS, Access and Eligibility and Ombudsman;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of State Health Services;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of Family and Protective Services;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Texas Workforce Commission;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Texas Education Agency;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University of Texas-Austin - Center for Disability Studies;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HHSC shall appoint a representative of the LIDDA;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(8)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HHSC shall appoint a representative from a public policy organization focused on IDD: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representative of the Governor's Committee on People with Disabilities;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representative of the Texas Council for Developmental Disabilities;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representative of the Arc of Texas;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representative of a Managed Care Organization;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provider of Medicaid Long-Term Services and Supports;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or family member with lived experience;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additional members as needed who must be recognized experts in serving individuals with intellectual and developmental disabilities or who represent the interests of individuals with intellectual and developmental disabilities.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executive commissioner shall determine the number of representatives that each entity may designate to serve on the council.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council may authorize another state agency or institution that provides specific intellectual and developmental disabilities services with the use of appropriated money to designate a representative to the council.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council member serves at the pleasure of the designating entity.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531.480.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MEETINGS. </w:t>
      </w:r>
      <w:r>
        <w:rPr>
          <w:u w:val="single"/>
        </w:rPr>
        <w:t xml:space="preserve"> </w:t>
      </w:r>
      <w:r>
        <w:rPr>
          <w:u w:val="single"/>
        </w:rPr>
        <w:t xml:space="preserve">The council shall meet at least once quarterly or more frequently at the call of the presiding officer.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531.481.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POWERS AND DUTIES.  The council: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shall develop and monitor the implementation of a five-year statewide intellectual and developmental disabilities strategic plan;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shall develop a biennial coordinated statewide intellectual and developmental disabilities expenditure proposal;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shall annually publish an updated inventory of intellectual and developmental disability programs and services that are funded by the state that includes a description of how those programs and services further the purpose of the statewide intellectual and developmental disabilities strategic plan;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may facilitate opportunities to increase collaboration for the effective expenditure of available federal and state funds for intellectual and developmental disability services in this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4571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