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4572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statewide interagency aging services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M-3 to read as follows:</w:t>
      </w:r>
    </w:p>
    <w:p w:rsidR="003F3435" w:rsidRDefault="0032493E">
      <w:pPr>
        <w:spacing w:line="480" w:lineRule="auto"/>
        <w:jc w:val="center"/>
      </w:pPr>
      <w:r>
        <w:rPr>
          <w:u w:val="single"/>
        </w:rPr>
        <w:t xml:space="preserve">SUBCHAPTER M-3. STATEWIDE INTERAGENCY AGING SERVICES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531.482.</w:t>
      </w:r>
      <w:r>
        <w:rPr>
          <w:u w:val="single"/>
        </w:rPr>
        <w:t xml:space="preserve"> </w:t>
      </w:r>
      <w:r>
        <w:rPr>
          <w:u w:val="single"/>
        </w:rPr>
        <w:t xml:space="preserve"> </w:t>
      </w:r>
      <w:r>
        <w:rPr>
          <w:u w:val="single"/>
        </w:rPr>
        <w:t xml:space="preserve">DEFINITION. In this subchapter, "council" means the statewide interagency aging services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531.483.</w:t>
      </w:r>
      <w:r>
        <w:rPr>
          <w:u w:val="single"/>
        </w:rPr>
        <w:t xml:space="preserve"> </w:t>
      </w:r>
      <w:r>
        <w:rPr>
          <w:u w:val="single"/>
        </w:rPr>
        <w:t xml:space="preserve"> </w:t>
      </w:r>
      <w:r>
        <w:rPr>
          <w:u w:val="single"/>
        </w:rPr>
        <w:t xml:space="preserve">PURPOSE.  The council is established to ensure a strategic statewide approach to interagency aging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531.473.</w:t>
      </w:r>
      <w:r>
        <w:rPr>
          <w:u w:val="single"/>
        </w:rPr>
        <w:t xml:space="preserve"> </w:t>
      </w:r>
      <w:r>
        <w:rPr>
          <w:u w:val="single"/>
        </w:rPr>
        <w:t xml:space="preserve"> </w:t>
      </w:r>
      <w:r>
        <w:rPr>
          <w:u w:val="single"/>
        </w:rPr>
        <w:t xml:space="preserve">COMPOSITION OF COUNCIL. (a) The council is composed of at least one representative designated by each of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Veterans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Department of Family and Protective Services-Adult Protective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Office of the Attorney General;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Department of Agriculture - Office of Rural Health;</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UT Health Science Center San Antonio - Barshop Institute for Longevity and Aging Studies;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UT Austin Aging and Longevity Center;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Texas A&amp;M University Center for Population Health and Aging.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determine the number of representatives that each entity may designate to serve on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authorize another state agency or institution that provides specific interagency aging services with the use of appropriated money to designate a representative to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serves at the pleasure of the designating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531.474.</w:t>
      </w:r>
      <w:r>
        <w:rPr>
          <w:u w:val="single"/>
        </w:rPr>
        <w:t xml:space="preserve"> </w:t>
      </w:r>
      <w:r>
        <w:rPr>
          <w:u w:val="single"/>
        </w:rPr>
        <w:t xml:space="preserve"> </w:t>
      </w:r>
      <w:r>
        <w:rPr>
          <w:u w:val="single"/>
        </w:rPr>
        <w:t xml:space="preserve">PRESIDING OFFICER. The Aging Services Coordination Office at HHSC shall serve as the presiding officer of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531.475.</w:t>
      </w:r>
      <w:r>
        <w:rPr>
          <w:u w:val="single"/>
        </w:rPr>
        <w:t xml:space="preserve"> </w:t>
      </w:r>
      <w:r>
        <w:rPr>
          <w:u w:val="single"/>
        </w:rPr>
        <w:t xml:space="preserve"> </w:t>
      </w:r>
      <w:r>
        <w:rPr>
          <w:u w:val="single"/>
        </w:rPr>
        <w:t xml:space="preserve">MEETINGS. The council shall meet at least once quarterly or more frequently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531.476.</w:t>
      </w:r>
      <w:r>
        <w:rPr>
          <w:u w:val="single"/>
        </w:rPr>
        <w:t xml:space="preserve"> </w:t>
      </w:r>
      <w:r>
        <w:rPr>
          <w:u w:val="single"/>
        </w:rPr>
        <w:t xml:space="preserve"> </w:t>
      </w:r>
      <w:r>
        <w:rPr>
          <w:u w:val="single"/>
        </w:rPr>
        <w:t xml:space="preserve">POWERS AND DUTIES.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coordinating council shall submit the five year strategic plan to the Executive Commissioner of HHSC for approval;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a biennial coordinated statewide interagency aging services expenditure proposal;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annually publish an updated inventory of interagency aging programs and services that are funded by the state that includes a description of how those programs and services further the purpose of the statewide interagency aging services strategic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create subcommittees to carry out the council's duties under this subchapter;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facilitate opportunities to increase collaboration for the effective expenditure of available federal and state funds for interagency aging services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