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87R14048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validating certain acts and proceedings of the East Lake Houston Management District and to the authority of the district to exercise certain powers, issue bonds, and impose fees, taxes,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3936, Special District Local Laws Code, is amended by adding Section 3936.113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3936.113.</w:t>
      </w:r>
      <w:r>
        <w:rPr>
          <w:u w:val="single"/>
        </w:rPr>
        <w:t xml:space="preserve"> </w:t>
      </w:r>
      <w:r>
        <w:rPr>
          <w:u w:val="single"/>
        </w:rPr>
        <w:t xml:space="preserve"> </w:t>
      </w:r>
      <w:r>
        <w:rPr>
          <w:u w:val="single"/>
        </w:rPr>
        <w:t xml:space="preserve">PUBLIC IMPROVEMENT DISTRICT POWERS.  The district has the powers provided by Chapter 372, Local Government Code, to a municipality or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3936, Special District Local Laws Code, is amended by adding Section 3936.162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3936.162.</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3936.204, Special District Local Laws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improvements financed by an obligation issued under this section will be conveyed to, operated and maintained by, or otherwise financed pursuant to an agreement between the district and the county, a municipality, or a retail utility provider entered into before the issuance of the obligation.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following are validated and confirmed in all respects:</w:t>
      </w:r>
    </w:p>
    <w:p w:rsidR="003F3435" w:rsidRDefault="0032493E">
      <w:pPr>
        <w:spacing w:line="480" w:lineRule="auto"/>
        <w:ind w:firstLine="1440"/>
        <w:jc w:val="both"/>
      </w:pPr>
      <w:r>
        <w:t xml:space="preserve">(1)</w:t>
      </w:r>
      <w:r xml:space="preserve">
        <w:t> </w:t>
      </w:r>
      <w:r xml:space="preserve">
        <w:t> </w:t>
      </w:r>
      <w:r>
        <w:t xml:space="preserve">the creation of the East Lake Houston Management District; and</w:t>
      </w:r>
    </w:p>
    <w:p w:rsidR="003F3435" w:rsidRDefault="0032493E">
      <w:pPr>
        <w:spacing w:line="480" w:lineRule="auto"/>
        <w:ind w:firstLine="1440"/>
        <w:jc w:val="both"/>
      </w:pPr>
      <w:r>
        <w:t xml:space="preserve">(2)</w:t>
      </w:r>
      <w:r xml:space="preserve">
        <w:t> </w:t>
      </w:r>
      <w:r xml:space="preserve">
        <w:t> </w:t>
      </w:r>
      <w:r>
        <w:t xml:space="preserve">any act or proceeding of the district, including an election, not excepted by this section and taken not more than three years before the effective date of this Act, effective as of the date on which the act or proceeding occurred.</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proceeding, director, other official, bond, or other obligation the validity of which or of whom is the subject of litigation that is pending on the effective date of this Act; or</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