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4610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14,</w:t>
      </w:r>
      <w:r xml:space="preserve">
        <w:t> </w:t>
      </w:r>
      <w:r>
        <w:t xml:space="preserve">2021, reported favorably by the following vote:</w:t>
      </w:r>
      <w:r>
        <w:t xml:space="preserve"> </w:t>
      </w:r>
      <w:r>
        <w:t xml:space="preserve"> </w:t>
      </w:r>
      <w:r>
        <w:t xml:space="preserve">Yeas 9,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division of the CLL Municipal Utility District No. 1 and districts created by the division of the CLL Municipal Utility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8109.101(a),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before the district issues indebtedness secured by taxes or net revenues, the district, including any annexed territory, may be divided into an original district and one or more new districts. The board shall determine which portion of the divided area constitutes the original district. </w:t>
      </w:r>
      <w:r>
        <w:rPr>
          <w:u w:val="single"/>
        </w:rPr>
        <w:t xml:space="preserve">The original district and a district created by the division of the original district may be divided under this section more than once.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