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87R12893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East Montgomery County Municipal Utility District No. 13;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8117.002, Special District Local Laws Code, is amended to read as follows:</w:t>
      </w:r>
    </w:p>
    <w:p w:rsidR="003F3435" w:rsidRDefault="0032493E">
      <w:pPr>
        <w:spacing w:line="480" w:lineRule="auto"/>
        <w:ind w:firstLine="720"/>
        <w:jc w:val="both"/>
      </w:pPr>
      <w:r>
        <w:t xml:space="preserve">Sec.</w:t>
      </w:r>
      <w:r xml:space="preserve">
        <w:t> </w:t>
      </w:r>
      <w:r>
        <w:t xml:space="preserve">8117.002.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8117, Special District Local Laws Code, is amended by adding Sections 8117.104, 8117.105, 8117.106, 8117.107, and 8117.108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8117.108.</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8117,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8117.153.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8117.151,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8117.203.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8117.022, 8117.023, 8117.024, 8117.025, and 8117.052,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East Montgomery County Municipal Utility District No. 13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