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87R8186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4631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county attorney and district attorney in Ector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43.137, Government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exercising the duties and authority conferred on district attorneys by general law, the district attorney represents the state in the district and inferior courts in Ector County in all criminal cases, juvenile matters under Title 3, Family Code, and matters involving children's protective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attorney has no power, duty, or privilege in any civil matter, other than civil asset forfeiture and civil bond forfeiture matters.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45, Government Code, is amended by adding Section 45.168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45.168.</w:t>
      </w:r>
      <w:r>
        <w:rPr>
          <w:u w:val="single"/>
        </w:rPr>
        <w:t xml:space="preserve"> </w:t>
      </w:r>
      <w:r>
        <w:rPr>
          <w:u w:val="single"/>
        </w:rPr>
        <w:t xml:space="preserve"> </w:t>
      </w:r>
      <w:r>
        <w:rPr>
          <w:u w:val="single"/>
        </w:rPr>
        <w:t xml:space="preserve">ECTOR COUNTY.  (a)  It is the primary duty of the county attorney in Ector County to represent the state, Ector County, and the officials of the county in all civil matters, other than asset forfeiture and bond forfeiture matters for which the district attorney is responsible, pending before the courts of Ector County and any other court in which the state, Ector County, or the county officials have matters pending.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attorney has no power, duty, or privilege in Ector County relating to criminal matters, juvenile matters under Title 3, Family Code, or matters involving children's protective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43.137, Government Code, as amended by this Act, and Section 45.168, Government Code, as added by this Act, apply only to a proceeding commenced on or after the effective date of this Act. A proceeding commenced before the effective date of this Act is governed by the law in effect on the date the proceeding was commenced,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