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87R7581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for road projects of the Blaketree Municipal Utility District No. 1 of Montgomery County; affecting the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8316.103, Special District Local Laws Code, is amended to read as follows:</w:t>
      </w:r>
    </w:p>
    <w:p w:rsidR="003F3435" w:rsidRDefault="0032493E">
      <w:pPr>
        <w:spacing w:line="480" w:lineRule="auto"/>
        <w:ind w:firstLine="720"/>
        <w:jc w:val="both"/>
      </w:pPr>
      <w:r>
        <w:t xml:space="preserve">Sec.</w:t>
      </w:r>
      <w:r xml:space="preserve">
        <w:t> </w:t>
      </w:r>
      <w:r>
        <w:t xml:space="preserve">8316.103.</w:t>
      </w:r>
      <w:r xml:space="preserve">
        <w:t> </w:t>
      </w:r>
      <w:r xml:space="preserve">
        <w:t> </w:t>
      </w:r>
      <w: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r>
        <w:rPr>
          <w:u w:val="single"/>
        </w:rPr>
        <w:t xml:space="preserve">, including roads within a gated community as defined by Section 352.112, Local Government Code, provided that those roads are open and accessible to all owners of real property located in the district, all residents of the district, and the invitees of owners and residents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Blaketree Municipal Utility District No. 1 of Montgomery County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