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87R8596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4656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the County Court at Law of Reeves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25.1972(a)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and except as limited by Subsection (b), a county court at law in Reeves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w:t>
      </w:r>
    </w:p>
    <w:p w:rsidR="003F3435" w:rsidRDefault="0032493E">
      <w:pPr>
        <w:spacing w:line="480" w:lineRule="auto"/>
        <w:ind w:firstLine="2160"/>
        <w:jc w:val="both"/>
      </w:pPr>
      <w:r>
        <w:t xml:space="preserve">(A)</w:t>
      </w:r>
      <w:r xml:space="preserve">
        <w:t> </w:t>
      </w:r>
      <w:r xml:space="preserve">
        <w:t> </w:t>
      </w:r>
      <w: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t xml:space="preserve">(B)</w:t>
      </w:r>
      <w:r xml:space="preserve">
        <w:t> </w:t>
      </w:r>
      <w:r xml:space="preserve">
        <w:t> </w:t>
      </w:r>
      <w: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t xml:space="preserve">(C)</w:t>
      </w:r>
      <w:r xml:space="preserve">
        <w:t> </w:t>
      </w:r>
      <w:r xml:space="preserve">
        <w:t> </w:t>
      </w:r>
      <w: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t xml:space="preserve">(D)</w:t>
      </w:r>
      <w:r xml:space="preserve">
        <w:t> </w:t>
      </w:r>
      <w:r xml:space="preserve">
        <w:t> </w:t>
      </w:r>
      <w:r>
        <w:t xml:space="preserve">in proceedings under Title 3, Family Code; and</w:t>
      </w:r>
    </w:p>
    <w:p w:rsidR="003F3435" w:rsidRDefault="0032493E">
      <w:pPr>
        <w:spacing w:line="480" w:lineRule="auto"/>
        <w:ind w:firstLine="2160"/>
        <w:jc w:val="both"/>
      </w:pPr>
      <w:r>
        <w:t xml:space="preserve">(E)</w:t>
      </w:r>
      <w:r xml:space="preserve">
        <w:t> </w:t>
      </w:r>
      <w:r xml:space="preserve">
        <w:t> </w:t>
      </w:r>
      <w:r>
        <w:t xml:space="preserve">in </w:t>
      </w:r>
      <w:r>
        <w:rPr>
          <w:u w:val="single"/>
        </w:rPr>
        <w:t xml:space="preserve">family law cases and proceedings</w:t>
      </w:r>
      <w:r>
        <w:t xml:space="preserve"> [</w:t>
      </w:r>
      <w:r>
        <w:rPr>
          <w:strike/>
        </w:rPr>
        <w:t xml:space="preserve">any proceeding involving an order relating to a child in the possession or custody of the Department of Family and Protective Services or for whom the court has appointed a temporary or permanent managing conservator</w:t>
      </w:r>
      <w:r>
        <w:t xml:space="preserve">];</w:t>
      </w:r>
    </w:p>
    <w:p w:rsidR="003F3435" w:rsidRDefault="0032493E">
      <w:pPr>
        <w:spacing w:line="480" w:lineRule="auto"/>
        <w:ind w:firstLine="1440"/>
        <w:jc w:val="both"/>
      </w:pPr>
      <w:r>
        <w:t xml:space="preserve">(2)</w:t>
      </w:r>
      <w:r xml:space="preserve">
        <w:t> </w:t>
      </w:r>
      <w:r xml:space="preserve">
        <w:t> </w:t>
      </w:r>
      <w: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t xml:space="preserve">(A)</w:t>
      </w:r>
      <w:r xml:space="preserve">
        <w:t> </w:t>
      </w:r>
      <w:r xml:space="preserve">
        <w:t> </w:t>
      </w:r>
      <w:r>
        <w:t xml:space="preserve">Chapter 462, Health and Safety Code; and</w:t>
      </w:r>
    </w:p>
    <w:p w:rsidR="003F3435" w:rsidRDefault="0032493E">
      <w:pPr>
        <w:spacing w:line="480" w:lineRule="auto"/>
        <w:ind w:firstLine="2160"/>
        <w:jc w:val="both"/>
      </w:pPr>
      <w:r>
        <w:t xml:space="preserve">(B)</w:t>
      </w:r>
      <w:r xml:space="preserve">
        <w:t> </w:t>
      </w:r>
      <w:r xml:space="preserve">
        <w:t> </w:t>
      </w:r>
      <w:r>
        <w:t xml:space="preserve">Subtitles C and D, Title 7, Health and Safety Code;</w:t>
      </w:r>
    </w:p>
    <w:p w:rsidR="003F3435" w:rsidRDefault="0032493E">
      <w:pPr>
        <w:spacing w:line="480" w:lineRule="auto"/>
        <w:ind w:firstLine="1440"/>
        <w:jc w:val="both"/>
      </w:pPr>
      <w:r>
        <w:t xml:space="preserve">(3)</w:t>
      </w:r>
      <w:r xml:space="preserve">
        <w:t> </w:t>
      </w:r>
      <w:r xml:space="preserve">
        <w:t> </w:t>
      </w:r>
      <w: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t xml:space="preserve">(4)</w:t>
      </w:r>
      <w:r xml:space="preserve">
        <w:t> </w:t>
      </w:r>
      <w:r xml:space="preserve">
        <w:t> </w:t>
      </w:r>
      <w:r>
        <w:t xml:space="preserve">jurisdiction in all cases assigned, transferred, or heard under Sections 74.054, 74.059, and 74.094.</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felony cases, except as otherwise provided by law;</w:t>
      </w:r>
    </w:p>
    <w:p w:rsidR="003F3435" w:rsidRDefault="0032493E">
      <w:pPr>
        <w:spacing w:line="480" w:lineRule="auto"/>
        <w:ind w:firstLine="1440"/>
        <w:jc w:val="both"/>
      </w:pPr>
      <w:r>
        <w:t xml:space="preserve">(2)</w:t>
      </w:r>
      <w:r xml:space="preserve">
        <w:t> </w:t>
      </w:r>
      <w:r xml:space="preserve">
        <w:t> </w:t>
      </w:r>
      <w:r>
        <w:t xml:space="preserve">misdemeanors involving official misconduct unless assigned under Sections 74.054 and 74.059;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contested elections[</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except as provided by Subsections (a)(1)(D) and (E), family law cases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