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87R9539 TSS-D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4660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Burnet County criminal magistrates.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54.1501(b),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commissioners court shall establish the minimum qualifications, salary, benefits, and other compensation of each magistrate position and shall determine whether the position is full-time or part-time.  [</w:t>
      </w:r>
      <w:r>
        <w:rPr>
          <w:strike/>
        </w:rPr>
        <w:t xml:space="preserve">The qualifications must require the magistrate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have served as a justice of the peace or municipal court judge;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be an attorney licensed in this state.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54.1502,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54.1502.</w:t>
      </w:r>
      <w:r xml:space="preserve">
        <w:t> </w:t>
      </w:r>
      <w:r xml:space="preserve">
        <w:t> </w:t>
      </w:r>
      <w:r>
        <w:t xml:space="preserve">JURISDICTION.  A magistrate has concurrent criminal jurisdiction with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judges of the justice of the peace courts of Burnet County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 court in Burnet County, if approved by a memorandum of understanding between the municipality and Burnet County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4660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