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of the Hidalgo County Drainage District Number 1; authorizing the issuance of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"district" means the Hidalgo County Drainage District Number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District revenue bonds may be secured as described by a board resolution by a pledge of:</w:t>
      </w:r>
    </w:p>
    <w:p w:rsidR="003F3435" w:rsidRDefault="0032493E">
      <w:pPr>
        <w:spacing w:line="480" w:lineRule="auto"/>
        <w:ind w:firstLine="1440"/>
        <w:jc w:val="both"/>
      </w:pPr>
      <w:r>
        <w:t xml:space="preserve">(1)</w:t>
      </w:r>
      <w:r xml:space="preserve">
        <w:t> </w:t>
      </w:r>
      <w:r xml:space="preserve">
        <w:t> </w:t>
      </w:r>
      <w:r>
        <w:t xml:space="preserve">all or part of the district's gross revenue, other than taxation, minus the amount necessary to pay the cost of maintaining and operating the district and its property;</w:t>
      </w:r>
    </w:p>
    <w:p w:rsidR="003F3435" w:rsidRDefault="0032493E">
      <w:pPr>
        <w:spacing w:line="480" w:lineRule="auto"/>
        <w:ind w:firstLine="1440"/>
        <w:jc w:val="both"/>
      </w:pPr>
      <w:r>
        <w:t xml:space="preserve">(2)</w:t>
      </w:r>
      <w:r xml:space="preserve">
        <w:t> </w:t>
      </w:r>
      <w:r xml:space="preserve">
        <w:t> </w:t>
      </w:r>
      <w:r>
        <w:t xml:space="preserve">the net revenue of a contract made at any time; or</w:t>
      </w:r>
    </w:p>
    <w:p w:rsidR="003F3435" w:rsidRDefault="0032493E">
      <w:pPr>
        <w:spacing w:line="480" w:lineRule="auto"/>
        <w:ind w:firstLine="1440"/>
        <w:jc w:val="both"/>
      </w:pPr>
      <w:r>
        <w:t xml:space="preserve">(3)</w:t>
      </w:r>
      <w:r xml:space="preserve">
        <w:t> </w:t>
      </w:r>
      <w:r xml:space="preserve">
        <w:t> </w:t>
      </w:r>
      <w:r>
        <w:t xml:space="preserve">other revenue specified by board resolution.</w:t>
      </w:r>
    </w:p>
    <w:p w:rsidR="003F3435" w:rsidRDefault="0032493E">
      <w:pPr>
        <w:spacing w:line="480" w:lineRule="auto"/>
        <w:ind w:firstLine="720"/>
        <w:jc w:val="both"/>
      </w:pPr>
      <w:r>
        <w:t xml:space="preserve">(b)</w:t>
      </w:r>
      <w:r xml:space="preserve">
        <w:t> </w:t>
      </w:r>
      <w:r xml:space="preserve">
        <w:t> </w:t>
      </w:r>
      <w:r>
        <w:t xml:space="preserve">The pledge may reserve the right to issue additional bonds on a parity with or subordinate to the bonds being issued, subject to conditions specified by the pledge.</w:t>
      </w:r>
    </w:p>
    <w:p w:rsidR="003F3435" w:rsidRDefault="0032493E">
      <w:pPr>
        <w:spacing w:line="480" w:lineRule="auto"/>
        <w:ind w:firstLine="720"/>
        <w:jc w:val="both"/>
      </w:pPr>
      <w:r>
        <w:t xml:space="preserve">(c)</w:t>
      </w:r>
      <w:r xml:space="preserve">
        <w:t> </w:t>
      </w:r>
      <w:r xml:space="preserve">
        <w:t> </w:t>
      </w:r>
      <w:r>
        <w:t xml:space="preserve">District revenue bonds not payable wholly or partly from ad valorem taxes may be issued without an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district may sell reclaimed water at wholesale and sell reclaimed water on a retail basis to the extent that the sale does not conflict with a certificate of convenience and necessity.</w:t>
      </w:r>
    </w:p>
    <w:p w:rsidR="003F3435" w:rsidRDefault="0032493E">
      <w:pPr>
        <w:spacing w:line="480" w:lineRule="auto"/>
        <w:ind w:firstLine="720"/>
        <w:jc w:val="both"/>
      </w:pPr>
      <w:r>
        <w:t xml:space="preserve">(b)</w:t>
      </w:r>
      <w:r xml:space="preserve">
        <w:t> </w:t>
      </w:r>
      <w:r xml:space="preserve">
        <w:t> </w:t>
      </w:r>
      <w:r>
        <w:t xml:space="preserve">The district may enter into public-private partnership agreements to fund infrastructure improvements needed to sell reclaimed water to consumers.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4663 was passed by the House on May 14, 2021, by the following vote:</w:t>
      </w:r>
      <w:r xml:space="preserve">
        <w:t> </w:t>
      </w:r>
      <w:r xml:space="preserve">
        <w:t> </w:t>
      </w:r>
      <w:r>
        <w:t xml:space="preserve">Yeas 104, Nays 41, 2 present, not voting; and that the House concurred in Senate amendments to H.B. No. 4663 on May 28, 2021, by the following vote:</w:t>
      </w:r>
      <w:r xml:space="preserve">
        <w:t> </w:t>
      </w:r>
      <w:r xml:space="preserve">
        <w:t> </w:t>
      </w:r>
      <w:r>
        <w:t xml:space="preserve">Yeas 98, Nays 44,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4663 was passed by the Senate, with amendments,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