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87R5491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H.C.R.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more than 90 years, Texas Southern University has played an important role in higher education in the Lone Star State, and while the school currently offers baccalaureate, master's, and doctoral degree programs in numerous schools, it does not have a divinity program or a school of religion; now, therefore, be it</w:t>
      </w:r>
    </w:p>
    <w:p w:rsidR="003F3435" w:rsidRDefault="0032493E">
      <w:pPr>
        <w:spacing w:line="480" w:lineRule="auto"/>
        <w:ind w:firstLine="720"/>
        <w:jc w:val="both"/>
      </w:pPr>
      <w:r>
        <w:t xml:space="preserve">RESOLVED, That the 87th Legislature of the State of Texas hereby direct the Texas Higher Education Coordinating Board to conduct a study on the creation of a divinity program, from undergraduate to doctoral degrees, at Texas Southern University with a goal to establish a program before the start of the 88th regular legislative session; and, be it further</w:t>
      </w:r>
    </w:p>
    <w:p w:rsidR="003F3435" w:rsidRDefault="0032493E">
      <w:pPr>
        <w:spacing w:line="480" w:lineRule="auto"/>
        <w:ind w:firstLine="720"/>
        <w:jc w:val="both"/>
      </w:pPr>
      <w:r>
        <w:t xml:space="preserve">RESOLVED, That the secretary of state forward an official copy of this resolution to the chair of the Texas Higher Education Coordinating Board.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