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87R326 E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Leman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original 1847 Colt Walker pistol was historically crucial to the early survival of the great State of Texas;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original 1847 Colt Walker pistol was an essential tool in the defeat of the Mexican army during the Mexican-American War to reclaim Texas, the 28th state of the Union;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co-inventor of the original 1847 Colt Walker pistol, Samuel Walker, was a captain in the Texas Rangers, the first state police agency in the country;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original 1847 Colt Walker pistol was America's first pistol to hold six rounds, otherwise known as a "six-shooter";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original 1847 Colt Walker pistol is still the most powerful black powder pistol in existence;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87th Legislature of the State of Texas hereby recognize the original 1847 Colt Walker pistol as the official handgun of the State of Texas.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