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87R6404 CW-D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recent years, the Hill Country community of Llano has become known throughout Texas as a thriving center for the sport of barrel racing;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John L. Kuykendall Event Center and Arena attracts a multitude of competitors and fans to the city, and the Llano Chamber of Commerce estimates that the economic impact from barrel racing exceeds $1 million annually;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From 2016 to 2020, the number of barrel races held at the JLK Arena grew by 200 percent, with total annual race days increasing from 50 to 120; approximately 150 events are slated to take place in 2021, and the venue is also used for practice sessions for several days each week;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Renowned as one of the safest barrel racing facilities in Texas, the JLK Arena has been honored with a Justin Boots Best Footing Award from the Women's Professional Rodeo Association in recognition of the exceptional ground conditions at its races; over the past five years, there have been only two recorded incidents in which horses slipped and lost their footing in competition, a remarkable record for a rodeo venue;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Barrel racing is a source of pride and prosperity for the residents of Llano, and the city's efforts to showcase the sport are furthering the rich rodeo heritage of the Lone Star State;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87th Legislature of the State of Texas hereby designate Llano as the official Barrel Racing Capital of Texas;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That, in accordance with the provisions of Section 391.003(e), Government Code, this designation remain in effect until the 10th anniversary of the date this resolution is finally passed by the legislature.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