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87R11525 BPG-D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Hunter, Pacheco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the early 1990s, dozens of cities and a growing number of states have adopted the observance of Indigenous Peoples' Day to celebrate the history and contributions of Native Americans;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Indigenous Peoples' Day was first proposed in 1977 as part of the International Conference on Discrimination Against Indigenous Populations in the Americas; coinciding with Columbus Day, the observance has become an important means of focusing attention on the native peoples of the Americas, past and present;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More than 14,000 years ago, ancient peoples arrived in North America from Asia and migrated south; over the millennia, they built empires, constructed sophisticated cities, and developed elaborate trade networks and complex social systems; the area now known as Texas became home to numerous indigenous tribes with their own unique cultures and ways of life;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Early inhabitants of our state's Gulf Coast included the semi-nomadic Atakapa, Karankawa, Mariame, and Akokisa, who lived on the shore for part of the year and moved some 30 to 40 miles inland on a seasonal basis; the Caddo in East Texas and Jumano in West Texas were farmers and traders, with economic ties to other tribes and, later, to Europeans; the Comanche and Apache were bison-hunting warriors who traversed large regions of the Southern Plains on horseback; a host of other groups inhabited the Plains area as well, among them Coahuiltecans, Cocoimes, Chisos, Tobosos, Tawakonis, Wacos, and Kiowas;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the Lone Star State is home to Native Americans from diverse tribal nations, and the effort to retain ancestral memories, languages, and cultures is ongoing and vital; the observation of Indigenous Peoples' Day raises awareness of this rich heritage and the wide-ranging contributions Native Americans have made and continue to make to our state and 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87th Legislature of the State of Texas hereby designate the second Monday in October as Indigenous Peoples' Day;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391.004(d), Government Code, this designation remain in effect until the 10th anniversary of the date that this resolution finally is passed by the legislature.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