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Bill No.</w:t>
      </w:r>
      <w:r xml:space="preserve">
        <w:t> </w:t>
      </w:r>
      <w:r>
        <w:t xml:space="preserve">1525 has been adopted by the house of representatives and the senate and is being prepared for enrollment;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bill contains technical errors that should be corrected;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 by the 87th Legislature of the State of Texas, That the enrolling clerk of the house of representatives be instructed to make the following corrections: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SECTION 7 of the bill, in added Section 28.004(e-1)(2)(A), Education Code (page 6, lines 20 and 21), strike "</w:t>
      </w:r>
      <w:r>
        <w:rPr>
          <w:u w:val="single"/>
        </w:rPr>
        <w:t xml:space="preserve">, at which an opportunity for public comment is provided,</w:t>
      </w:r>
      <w:r>
        <w:t xml:space="preserve">".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SECTION 7 of the bill, in added Section 28.004(e-1)(2)(B), Education Code (page 6, lines 24 and 25), strike "</w:t>
      </w:r>
      <w:r>
        <w:rPr>
          <w:u w:val="single"/>
        </w:rPr>
        <w:t xml:space="preserve">, at which an opportunity for public comment is provided</w:t>
      </w:r>
      <w:r>
        <w:t xml:space="preserve">".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SECTION 48(a) of the bill, repealing provisions of the Education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immediately following the semicolon (page 62, line 20), insert "and";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strike Subdivision (5) (page 62, line 21), and renumber subsequent subdivisions accordingly.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Huberty</w:t>
      </w:r>
    </w:p>
    <w:p>
      <w:r>
        <w:br w:type="page"/>
      </w:r>
    </w:p>
    <w:p w:rsidR="003F3435" w:rsidRDefault="0032493E">
      <w:pPr>
        <w:spacing w:before="240"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117 was adopted by the House on May 31, 2021, by the following vote:</w:t>
      </w:r>
      <w:r xml:space="preserve">
        <w:t> </w:t>
      </w:r>
      <w:r xml:space="preserve">
        <w:t> </w:t>
      </w:r>
      <w:r>
        <w:t xml:space="preserve">Yeas 132,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117 was adopted by the Senate on May 31, 2021,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RECEIVED: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State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