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 Price, Lambert, Murr</w:t>
      </w:r>
      <w:r xml:space="preserve">
        <w:tab wTab="150" tlc="none" cTlc="0"/>
      </w:r>
      <w:r>
        <w:t xml:space="preserve">H.J.R.</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denial of bail under some circumstances to a person accused of a violent or sexual offense or of continuous trafficking of persons.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11d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11d.</w:t>
      </w:r>
      <w:r>
        <w:rPr>
          <w:u w:val="single"/>
        </w:rPr>
        <w:t xml:space="preserve"> </w:t>
      </w:r>
      <w:r>
        <w:rPr>
          <w:u w:val="single"/>
        </w:rPr>
        <w:t xml:space="preserve"> </w:t>
      </w:r>
      <w:r>
        <w:rPr>
          <w:u w:val="single"/>
        </w:rPr>
        <w:t xml:space="preserve">(a)  A person accused of committing a violent or sexual offense, or of committing continuous trafficking of persons, may be denied bail pending trial if a judge or magistrate determines by clear and convincing evidence that requiring bail and conditions of release is insufficient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law enforcement, or the victim of the alleged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or magistrate who denies a person bail in accordance with this section shall prepare a written order that includes findings of fact and a statement explaining the judge or magistrate's reason for the denial.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any right a person has under other law to contest a denial of bail or to contest the amount of bail set by a judge or magistrate;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any hearing or procedure before a judge or magistrate makes a bail decision with respect to a person to whom this section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"violent offense" and "sexual offense" have the meanings assigned by Section 11a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denial of bail under some circumstances to a person accused of a violent or sexual offense or of continuous trafficking of persons."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