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denial of bail to an accused person if necessary to ensure the person's appearance in court and the safety of the community, law enforcement, and the victim of the alleged offense, and requiring the denial of bail to a person accused of capital murder or a sexual offense involving children under most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Sections 11d and 11e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w:t>
      </w:r>
      <w:r>
        <w:rPr>
          <w:u w:val="single"/>
        </w:rPr>
        <w:t xml:space="preserve"> </w:t>
      </w:r>
      <w:r>
        <w:rPr>
          <w:u w:val="single"/>
        </w:rPr>
        <w:t xml:space="preserve">A person accused of a violent or sexual offense, or other offenses as authorized by the legislature by law, may be denied bail pending trial if a judge or magistrate determines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require additional hearings or procedures, other than those authorized or required by the legislature before a judge or magistrate makes a bail decision, before a person may be denied bail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11e.</w:t>
      </w:r>
      <w:r>
        <w:rPr>
          <w:u w:val="single"/>
        </w:rPr>
        <w:t xml:space="preserve"> </w:t>
      </w:r>
      <w:r>
        <w:rPr>
          <w:u w:val="single"/>
        </w:rPr>
        <w:t xml:space="preserve"> </w:t>
      </w:r>
      <w:r>
        <w:rPr>
          <w:u w:val="single"/>
        </w:rPr>
        <w:t xml:space="preserve">(a) </w:t>
      </w:r>
      <w:r>
        <w:rPr>
          <w:u w:val="single"/>
        </w:rPr>
        <w:t xml:space="preserve"> </w:t>
      </w:r>
      <w:r>
        <w:rPr>
          <w:u w:val="single"/>
        </w:rPr>
        <w:t xml:space="preserve">A person accused of capital murder or a sexual offense involving a victim younger than 17 years of age, must be denied bail pending trial unless a judge or magistrate determines by clear and convincing evidence that extraordinary circumstances allow the judge or magistrate to set bail and conditions of release 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and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"sexual offense" has the meaning assigned by Section 11a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denial of bail to an accused person if necessary to ensure the person's appearance in court and the safety of the community, law enforcement, and the victim of the alleged offense, and requiring the denial of bail to a person accused of capital murder or a sexual offense involving children under most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