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et al.</w:t>
      </w:r>
      <w:r>
        <w:t xml:space="preserve"> (Senate Sponsor</w:t>
      </w:r>
      <w:r xml:space="preserve">
        <w:t> </w:t>
      </w:r>
      <w:r>
        <w:t xml:space="preserve">-</w:t>
      </w:r>
      <w:r xml:space="preserve">
        <w:t> </w:t>
      </w:r>
      <w:r>
        <w:t xml:space="preserve">Huffman)</w:t>
      </w:r>
      <w:r xml:space="preserve">
        <w:tab wTab="150" tlc="none" cTlc="0"/>
      </w:r>
      <w:r>
        <w:t xml:space="preserve">H.J.R.</w:t>
      </w:r>
      <w:r xml:space="preserve">
        <w:t> </w:t>
      </w:r>
      <w:r>
        <w:t xml:space="preserve">No.</w:t>
      </w:r>
      <w:r xml:space="preserve">
        <w:t> </w:t>
      </w:r>
      <w:r>
        <w:t xml:space="preserve">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4, Nays</w:t>
      </w:r>
      <w:r xml:space="preserve">
        <w:t> </w:t>
      </w:r>
      <w:r>
        <w:t xml:space="preserve">1;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authorizing the denial of bail under some circumstances to a person accused of a violent or sexual offense or of continuous trafficking of persons.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violent or sexual offense, or of committing continuous trafficking of persons, may be denied bail pending trial if a judge or magistrate determines by clear and convincing evidence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hearing or procedure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denial of bail under some circumstances to a person accused of a violent or sexual offense or of continuous trafficking of persons."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