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87R9153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issuance of general obligation bonds and the dedication of bond proceeds to the Brain Institute of Texas research fund established to fund brain research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The Brain Institute of Texas research fund is established in the state treasury and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fund from the sale of bonds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appropriations made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and grants, including grants from the federal government and other organizations, made to the fund or the Brain Institute of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interest, dividends, and other income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from the Brain Institute of Texas research fund may be used as provided by general law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grants to institutions of higher education in this state for brain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brain disease and disorder prevention health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recruitment and development of brain researchers;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activities identified in the Texas Brain Research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facilities in this state that conduct brain research;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purchase, subject to approval by the Brain Institute of Texas, of research facilities by or for a grant recipient;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operation of the institute.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authorize the Texas Public Finance Authority to provide for, issue, and sell general obligation bonds of the State of Texas on behalf of the Brain Institute of Texas in an amount not to exceed $5 billion and to enter into related credit agreements.  The Texas Public Finance Authority may not issue more than $500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bond proceeds may be used to pay the costs of issuing the bonds and any administrative expense related to the bonds.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While any of the bonds or interest on the bonds authorized by this section is outstanding and unpaid, from the first money coming into the state treasury in each fiscal year not otherwise appropriated by this constitution, an amount sufficient to pay the principal of and interest on bonds that mature or become due during the fiscal year and to make payments that become due under a related credit agreement during the fiscal year is appropriated, less the amount in the sinking fund at the close of the previous fiscal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Public Finance Authority shall consider using a business whose principal place of business is located in the state to issue the bonds authorized by this section and shall include using a historically underutilized business as defined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issuance of up to $5 billion in general obligation bonds and the dedication of bond proceeds to the Brain Institute of Texas research fund established to fund brain research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