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87R3968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H.J.R.</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limit the maximum appraised value of commercial real property for ad valorem tax purposes.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Notwithstanding Subsections (a) and (b) of this section, the Legislature by general law may limit the maximum appraised value of a parcel of commercial real property for ad valorem tax purposes in a tax year to the lesser of the most recent market value of the property as determined by the appraisal entity or 103.5 percent, or a greater percentage, of the appraised value of the property for the preceding tax year.  The Legislature by general law may define commercial real property for purposes of this section.  A limitation on appraised values authorized by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effect as to a parcel of commercial real property on the later of the effective date of the law imposing the limitation or January 1 of the tax year following the first tax year in which the owner owns the property on January 1 and in which the property meets the definition of commercial real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expires on January 1 of the tax year following the first tax year in which the owner of the property ceases to own the property or the property no longer meets the definition of commercial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limit the maximum appraised value of commercial real property for ad valorem tax purposes to 103.5 percent or more of the appraised value of the property for the preceding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