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87R588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H.J.R.</w:t>
      </w:r>
      <w:r xml:space="preserve">
        <w:t> </w:t>
      </w:r>
      <w:r>
        <w:t xml:space="preserve">No.</w:t>
      </w:r>
      <w:r xml:space="preserve">
        <w:t> </w:t>
      </w:r>
      <w:r>
        <w:t xml:space="preserve">36</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providing honesty in state taxation.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2-a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2-a.</w:t>
      </w:r>
      <w:r>
        <w:rPr>
          <w:u w:val="single"/>
        </w:rPr>
        <w:t xml:space="preserve"> </w:t>
      </w:r>
      <w:r>
        <w:rPr>
          <w:u w:val="single"/>
        </w:rPr>
        <w:t xml:space="preserve"> </w:t>
      </w:r>
      <w:r>
        <w:rPr>
          <w:u w:val="single"/>
        </w:rPr>
        <w:t xml:space="preserve">(a)  A "regulatory tax" is a fee, levy, surcharge, assessment, fine, penalty, or other charge of any kind imposed by this state, regardless of the date the law imposing the charge was enacted or whether the revenue from the charge is dedicated for a primary purpose other than to raise revenue for general purposes,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charge imposed for a specific benefit conferred or privilege granted directly to the taxpayer that is not provided to a person who did not pay the charge and that does not exceed the reasonable cost to this state of conferring the benefit or granting the privilege;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charge imposed for a specific state service or product provided directly to the taxpayer that is not provided to a person who did not pay the charge and that does not exceed the reasonable cost to this state of providing the service or product;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charge imposed for the reasonable regulatory cost to this state related to the issuance of a license or permit, the performance of an investigation, inspection, or audit, or the enforcement of a state law or order;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charge imposed for the purchase, rental, lease, or other use of state property;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fine, penalty, or other monetary charge imposed by this state for or in connection with a violation of a state law or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intent of this section is to protect the taxpayers of this state from hidden tax increases by appropriately identifying state-imposed charges as state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November 2, 2021, the legislature may not enact a general law that imposes a state tax, including a regulatory tax, or amends the provisions relating to a state tax, including a regulatory tax, if the enacted or amended provisions relating to the tax identify the tax as another type of charge such as a "fee," "levy," "surcharge," "assessment," "fine," or "penalty."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January 1, 2024, the legislature shall revise every reference in state statute to a fee, levy, surcharge, assessment, fine, penalty, or other charge of any kind imposed by this state for a primary purpose other than to raise revenue for general purposes to refer to the charge as a "regulatory tax."  Beginning January 1, 2024, a regulatory tax identified in statute as another type of charge such as a "fee," "levy," "surcharge," "assessment," "fine," or "penalty" is void and may not be collected.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providing honesty in state taxation."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