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87R2805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H.J.R.</w:t>
      </w:r>
      <w:r xml:space="preserve">
        <w:t> </w:t>
      </w:r>
      <w:r>
        <w:t xml:space="preserve">No.</w:t>
      </w:r>
      <w:r xml:space="preserve">
        <w:t> </w:t>
      </w:r>
      <w:r>
        <w:t xml:space="preserve">40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prohibit the governor from regulating alcoholic beverages, firearms, explosives, or combustibles by order or proclamation.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IV, Texas Constitution, is amended by adding Section 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w:t>
      </w:r>
      <w:r>
        <w:rPr>
          <w:u w:val="single"/>
        </w:rPr>
        <w:t xml:space="preserve"> </w:t>
      </w:r>
      <w:r>
        <w:rPr>
          <w:u w:val="single"/>
        </w:rPr>
        <w:t xml:space="preserve"> </w:t>
      </w:r>
      <w:r>
        <w:rPr>
          <w:u w:val="single"/>
        </w:rPr>
        <w:t xml:space="preserve">The Governor may not, by order or proclamation, suspend or limit the sale, dispensing, or transportation of alcoholic beverages, firearms,  explosives, or combustibles, regardless of whether this State is in a period of emergency resulting from a disaster.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prohibiting the governor from regulating alcoholic beverages, firearms, explosives, or combustibles by order or proclamation."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