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H.J.R.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creation of a regional mobility authority by local law.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local law may create a regional mobility authority for the purposes of constructing, maintaining, and operating transportation projects in a region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pass a local law described by Subsection (a) of this section without the local notice required for special or local laws.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create a regional mobility authority by local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